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0DED" w:rsidP="007C0D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MEM48015 Select metal forming process</w:t>
      </w:r>
      <w:r>
        <w:fldChar w:fldCharType="end"/>
      </w:r>
    </w:p>
    <w:p w:rsidR="007C0DED" w:rsidP="007C0DED">
      <w:pPr>
        <w:pStyle w:val="Version"/>
        <w:sectPr w:rsidSect="00416C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6C60" w:rsidP="00416C60">
      <w:pPr>
        <w:pStyle w:val="SuperHeading"/>
      </w:pPr>
      <w:r w:rsidRPr="00416C60">
        <w:t>Assessment Requirements for MEM48015 Select metal forming process</w:t>
      </w:r>
    </w:p>
    <w:p w:rsidR="00000000" w:rsidRPr="00416C60" w:rsidP="00416C60">
      <w:pPr>
        <w:pStyle w:val="Heading1"/>
      </w:pPr>
      <w:bookmarkStart w:id="1" w:name="O_949994"/>
      <w:bookmarkEnd w:id="1"/>
      <w:r w:rsidRPr="00416C60">
        <w:t>Modification History</w:t>
      </w:r>
    </w:p>
    <w:p w:rsidR="007C0DED" w:rsidP="007C0DED">
      <w:pPr>
        <w:pStyle w:val="BodyText"/>
      </w:pPr>
      <w:r w:rsidRPr="00416C60">
        <w:t>Release 1. Supersedes and is equivalent to MSATCM504A Select metal forming process.</w:t>
      </w:r>
    </w:p>
    <w:p w:rsidR="00000000" w:rsidRPr="00416C60" w:rsidP="00416C60">
      <w:pPr>
        <w:pStyle w:val="Heading1"/>
      </w:pPr>
      <w:bookmarkStart w:id="2" w:name="O_949997"/>
      <w:bookmarkEnd w:id="2"/>
      <w:r w:rsidRPr="00416C60">
        <w:t>Performance Evidence</w:t>
      </w:r>
    </w:p>
    <w:p w:rsidR="00000000" w:rsidRPr="00416C60" w:rsidP="007C0DED">
      <w:pPr>
        <w:pStyle w:val="BodyText"/>
      </w:pPr>
      <w:r w:rsidRPr="00416C60">
        <w:t>Evidence required to demonstrate competence in this unit must be relevant to and satisfy the requirements of the elements and performance criteria and include:</w:t>
      </w:r>
    </w:p>
    <w:p w:rsidR="00000000" w:rsidRPr="00416C60" w:rsidP="00416C60">
      <w:pPr>
        <w:pStyle w:val="ListBullet"/>
      </w:pPr>
      <w:r w:rsidRPr="00416C60">
        <w:t>following work instructions, standard operating procedures (SOPs) and safe work practices</w:t>
      </w:r>
    </w:p>
    <w:p w:rsidR="00000000" w:rsidRPr="00416C60" w:rsidP="00416C60">
      <w:pPr>
        <w:pStyle w:val="ListBullet"/>
      </w:pPr>
      <w:r w:rsidRPr="00416C60">
        <w:t>ident</w:t>
      </w:r>
      <w:r w:rsidRPr="00416C60">
        <w:t>ifying and asking questions which lead stakeholders to describe the key factors and properties required</w:t>
      </w:r>
    </w:p>
    <w:p w:rsidR="00000000" w:rsidRPr="00416C60" w:rsidP="00416C60">
      <w:pPr>
        <w:pStyle w:val="ListBullet"/>
      </w:pPr>
      <w:r w:rsidRPr="00416C60">
        <w:t>communicating technical information both with technical and non-technical stakeholders who may be customers or managers and confirming requirements</w:t>
      </w:r>
    </w:p>
    <w:p w:rsidR="00000000" w:rsidRPr="00416C60" w:rsidP="00416C60">
      <w:pPr>
        <w:pStyle w:val="ListBullet"/>
      </w:pPr>
      <w:r w:rsidRPr="00416C60">
        <w:t>iden</w:t>
      </w:r>
      <w:r w:rsidRPr="00416C60">
        <w:t>tifying and selecting appropriate process to suit the application on at least two occasions</w:t>
      </w:r>
    </w:p>
    <w:p w:rsidR="00000000" w:rsidRPr="00416C60" w:rsidP="00416C60">
      <w:pPr>
        <w:pStyle w:val="ListBullet"/>
      </w:pPr>
      <w:r w:rsidRPr="00416C60">
        <w:t>explaining rationale behind the selection process to stakeholders</w:t>
      </w:r>
    </w:p>
    <w:p w:rsidR="00000000" w:rsidRPr="00416C60" w:rsidP="00416C60">
      <w:pPr>
        <w:pStyle w:val="ListBullet"/>
      </w:pPr>
      <w:r w:rsidRPr="00416C60">
        <w:t>interpreting technical information</w:t>
      </w:r>
    </w:p>
    <w:p w:rsidR="00000000" w:rsidRPr="00416C60" w:rsidP="00416C60">
      <w:pPr>
        <w:pStyle w:val="ListBullet"/>
      </w:pPr>
      <w:r w:rsidRPr="00416C60">
        <w:t>writing technical reports and production specifications on at l</w:t>
      </w:r>
      <w:r w:rsidRPr="00416C60">
        <w:t>east two occasions</w:t>
      </w:r>
    </w:p>
    <w:p w:rsidR="00000000" w:rsidRPr="00416C60" w:rsidP="00416C60">
      <w:pPr>
        <w:pStyle w:val="ListBullet"/>
      </w:pPr>
      <w:r w:rsidRPr="00416C60">
        <w:t>interpreting numerical data.</w:t>
      </w:r>
    </w:p>
    <w:p w:rsidR="007C0DED" w:rsidP="007C0DED">
      <w:pPr>
        <w:pStyle w:val="BodyText"/>
      </w:pPr>
      <w:r w:rsidRPr="00416C60">
        <w:t>Note: Where a volume and/or frequency is not specified, demonstration must be provided at least once.</w:t>
      </w:r>
    </w:p>
    <w:p w:rsidR="00000000" w:rsidRPr="00416C60" w:rsidP="00416C60">
      <w:pPr>
        <w:pStyle w:val="Heading1"/>
      </w:pPr>
      <w:bookmarkStart w:id="3" w:name="O_949996"/>
      <w:bookmarkEnd w:id="3"/>
      <w:r w:rsidRPr="00416C60">
        <w:t>Knowledge Evidence</w:t>
      </w:r>
    </w:p>
    <w:p w:rsidR="00000000" w:rsidRPr="00416C60" w:rsidP="007C0DED">
      <w:pPr>
        <w:pStyle w:val="BodyText"/>
      </w:pPr>
      <w:r w:rsidRPr="00416C60">
        <w:t>Evidence required to demonstrate the required knowledge for this unit</w:t>
      </w:r>
      <w:r w:rsidRPr="00416C60">
        <w:t xml:space="preserve"> must be relevant to and satisfy the requirements of the elements and performance criteria and include knowledge of:</w:t>
      </w:r>
    </w:p>
    <w:p w:rsidR="00000000" w:rsidRPr="00416C60" w:rsidP="00416C60">
      <w:pPr>
        <w:pStyle w:val="ListBullet"/>
      </w:pPr>
      <w:r w:rsidRPr="00416C60">
        <w:t>safe work practices and procedures</w:t>
      </w:r>
    </w:p>
    <w:p w:rsidR="00000000" w:rsidRPr="00416C60" w:rsidP="00416C60">
      <w:pPr>
        <w:pStyle w:val="ListBullet"/>
      </w:pPr>
      <w:r w:rsidRPr="00416C60">
        <w:t>principles, strengths and weaknesses and typical applications of:</w:t>
      </w:r>
    </w:p>
    <w:p w:rsidR="00000000" w:rsidRPr="00416C60" w:rsidP="00416C60">
      <w:pPr>
        <w:pStyle w:val="ListBullet2"/>
      </w:pPr>
      <w:r w:rsidRPr="00416C60">
        <w:t>casting methods including greensand, chemically-bonded sand, horizontal part, vertical part, investment, gravity die, pressure die, centrifugal and direct caste</w:t>
      </w:r>
    </w:p>
    <w:p w:rsidR="00000000" w:rsidRPr="00416C60" w:rsidP="00416C60">
      <w:pPr>
        <w:pStyle w:val="ListBullet2"/>
      </w:pPr>
      <w:r w:rsidRPr="00416C60">
        <w:t>powder metallurgy including unidirectional die pressing, isotropic pressing, power rolling, pow</w:t>
      </w:r>
      <w:r w:rsidRPr="00416C60">
        <w:t>er swaging, power extrusion, explosive compacting and sintering</w:t>
      </w:r>
    </w:p>
    <w:p w:rsidR="00000000" w:rsidRPr="00416C60" w:rsidP="00416C60">
      <w:pPr>
        <w:pStyle w:val="ListBullet2"/>
      </w:pPr>
      <w:r w:rsidRPr="00416C60">
        <w:t>electrometallurgy including chemical and mechanical pre-treatments, electroplating, cadmium plating, zinc plating, tin plating, copper plating, nickel plating, chromium plating and electro-pol</w:t>
      </w:r>
      <w:r w:rsidRPr="00416C60">
        <w:t>ishing</w:t>
      </w:r>
    </w:p>
    <w:p w:rsidR="00000000" w:rsidRPr="00416C60" w:rsidP="00416C60">
      <w:pPr>
        <w:pStyle w:val="ListBullet2"/>
      </w:pPr>
      <w:r w:rsidRPr="00416C60">
        <w:t>methods of metalworking including plastic deformation, recrystallisation, recovery, grain growth, structural changes, property changes, direct compression, indirect compression, tensile, bending and shearing</w:t>
      </w:r>
    </w:p>
    <w:p w:rsidR="00000000" w:rsidRPr="00416C60" w:rsidP="00416C60">
      <w:pPr>
        <w:pStyle w:val="ListBullet2"/>
      </w:pPr>
      <w:r w:rsidRPr="00416C60">
        <w:t>direct compression processes including fo</w:t>
      </w:r>
      <w:r w:rsidRPr="00416C60">
        <w:t>rging and rolling</w:t>
      </w:r>
    </w:p>
    <w:p w:rsidR="00000000" w:rsidRPr="00416C60" w:rsidP="00416C60">
      <w:pPr>
        <w:pStyle w:val="ListBullet2"/>
      </w:pPr>
      <w:r w:rsidRPr="00416C60">
        <w:t>indirect compression processes including extrusion, wire drawing, tube drawing and deep drawing</w:t>
      </w:r>
    </w:p>
    <w:p w:rsidR="00000000" w:rsidRPr="00416C60" w:rsidP="00416C60">
      <w:pPr>
        <w:pStyle w:val="ListBullet2"/>
      </w:pPr>
      <w:r w:rsidRPr="00416C60">
        <w:t>tensile processes including stretching</w:t>
      </w:r>
    </w:p>
    <w:p w:rsidR="00000000" w:rsidRPr="00416C60" w:rsidP="00416C60">
      <w:pPr>
        <w:pStyle w:val="ListBullet2"/>
      </w:pPr>
      <w:r w:rsidRPr="00416C60">
        <w:t>bending processes including cold and hot bending</w:t>
      </w:r>
    </w:p>
    <w:p w:rsidR="00000000" w:rsidRPr="00416C60" w:rsidP="00416C60">
      <w:pPr>
        <w:pStyle w:val="ListBullet2"/>
      </w:pPr>
      <w:r w:rsidRPr="00416C60">
        <w:t>cutting and shearing processes including turning, mill</w:t>
      </w:r>
      <w:r w:rsidRPr="00416C60">
        <w:t>ing, grinding and shearing</w:t>
      </w:r>
    </w:p>
    <w:p w:rsidR="00000000" w:rsidRPr="00416C60" w:rsidP="00416C60">
      <w:pPr>
        <w:pStyle w:val="ListBullet2"/>
      </w:pPr>
      <w:r w:rsidRPr="00416C60">
        <w:t>lubrication for metal forming processes including role of lubrication and types of lubricants</w:t>
      </w:r>
    </w:p>
    <w:p w:rsidR="00000000" w:rsidRPr="00416C60" w:rsidP="00416C60">
      <w:pPr>
        <w:pStyle w:val="ListBullet2"/>
      </w:pPr>
      <w:r w:rsidRPr="00416C60">
        <w:t>metal forming risk factors including tool and die wear, metal fatigue, tool and product heating</w:t>
      </w:r>
    </w:p>
    <w:p w:rsidR="00000000" w:rsidRPr="00416C60" w:rsidP="00416C60">
      <w:pPr>
        <w:pStyle w:val="ListBullet2"/>
      </w:pPr>
      <w:r w:rsidRPr="00416C60">
        <w:t>furnaces including melting furnaces, he</w:t>
      </w:r>
      <w:r w:rsidRPr="00416C60">
        <w:t>ating furnaces, energy sources, atmospheres and refractories</w:t>
      </w:r>
    </w:p>
    <w:p w:rsidR="00000000" w:rsidRPr="00416C60" w:rsidP="00416C60">
      <w:pPr>
        <w:pStyle w:val="ListBullet2"/>
      </w:pPr>
      <w:r w:rsidRPr="00416C60">
        <w:t xml:space="preserve">isotropic and anisotropic materials including directional and non-directional plastic and fracture properties and texture </w:t>
      </w:r>
    </w:p>
    <w:p w:rsidR="00000000" w:rsidRPr="00416C60" w:rsidP="00416C60">
      <w:pPr>
        <w:pStyle w:val="ListBullet"/>
      </w:pPr>
      <w:r w:rsidRPr="00416C60">
        <w:t xml:space="preserve">questioning techniques that will lead stakeholders to describe the key </w:t>
      </w:r>
      <w:r w:rsidRPr="00416C60">
        <w:t>factors and properties required</w:t>
      </w:r>
    </w:p>
    <w:p w:rsidR="00000000" w:rsidRPr="00416C60" w:rsidP="00416C60">
      <w:pPr>
        <w:pStyle w:val="ListBullet"/>
      </w:pPr>
      <w:r w:rsidRPr="00416C60">
        <w:t>economic and timeliness factors</w:t>
      </w:r>
    </w:p>
    <w:p w:rsidR="00000000" w:rsidRPr="00416C60" w:rsidP="00416C60">
      <w:pPr>
        <w:pStyle w:val="ListBullet"/>
      </w:pPr>
      <w:r w:rsidRPr="00416C60">
        <w:t>quality and aesthetics of finish</w:t>
      </w:r>
    </w:p>
    <w:p w:rsidR="007C0DED" w:rsidP="00416C60">
      <w:pPr>
        <w:pStyle w:val="ListBullet"/>
      </w:pPr>
      <w:r w:rsidRPr="00416C60">
        <w:t>technical differences including strength, rigidity, corrosion resistance, grain structure and chemical composition.</w:t>
      </w:r>
    </w:p>
    <w:p w:rsidR="007C0DED" w:rsidP="00416C60">
      <w:pPr>
        <w:pStyle w:val="ListBullet"/>
      </w:pPr>
    </w:p>
    <w:p w:rsidR="00000000" w:rsidRPr="00416C60" w:rsidP="00416C60">
      <w:pPr>
        <w:pStyle w:val="Heading1"/>
      </w:pPr>
      <w:bookmarkStart w:id="4" w:name="O_949995"/>
      <w:bookmarkEnd w:id="4"/>
      <w:r w:rsidRPr="00416C60">
        <w:t>Assessment Conditions</w:t>
      </w:r>
    </w:p>
    <w:p w:rsidR="00000000" w:rsidRPr="00416C60" w:rsidP="00416C60">
      <w:pPr>
        <w:pStyle w:val="ListBullet"/>
      </w:pPr>
      <w:r w:rsidRPr="00416C60">
        <w:t>Assessors must:</w:t>
      </w:r>
    </w:p>
    <w:p w:rsidR="00000000" w:rsidRPr="00416C60" w:rsidP="00416C60">
      <w:pPr>
        <w:pStyle w:val="ListBullet2"/>
      </w:pPr>
      <w:r w:rsidRPr="00416C60">
        <w:t>have vocational competency in selecting metal forming process at least to the level being assessed with relevant industry knowledge and experience</w:t>
      </w:r>
    </w:p>
    <w:p w:rsidR="00000000" w:rsidRPr="00416C60" w:rsidP="00416C60">
      <w:pPr>
        <w:pStyle w:val="ListBullet2"/>
      </w:pPr>
      <w:r w:rsidRPr="00416C60">
        <w:t xml:space="preserve">satisfy the assessor requirements in the </w:t>
      </w:r>
      <w:r w:rsidRPr="00416C60">
        <w:rPr>
          <w:rStyle w:val="Emphasis"/>
        </w:rPr>
        <w:t>Standards for Registered Training Organisations 201</w:t>
      </w:r>
      <w:r w:rsidRPr="00416C60">
        <w:rPr>
          <w:rStyle w:val="Emphasis"/>
        </w:rPr>
        <w:t xml:space="preserve">5 </w:t>
      </w:r>
      <w:r w:rsidRPr="00416C60">
        <w:t>or its replacement</w:t>
      </w:r>
      <w:r w:rsidRPr="00416C60">
        <w:rPr>
          <w:rStyle w:val="Emphasis"/>
        </w:rPr>
        <w:t xml:space="preserve"> </w:t>
      </w:r>
      <w:r w:rsidRPr="00416C60">
        <w:t xml:space="preserve">and comply with the </w:t>
      </w:r>
      <w:r w:rsidRPr="00416C60">
        <w:rPr>
          <w:rStyle w:val="Emphasis"/>
        </w:rPr>
        <w:t xml:space="preserve">National Vocational Education and Training Regulator Act 2011, </w:t>
      </w:r>
      <w:r w:rsidRPr="00416C60">
        <w:t>its replacement</w:t>
      </w:r>
      <w:r w:rsidRPr="00416C60">
        <w:rPr>
          <w:rStyle w:val="Emphasis"/>
        </w:rPr>
        <w:t xml:space="preserve"> </w:t>
      </w:r>
      <w:r w:rsidRPr="00416C60">
        <w:t>or equivalent legislation covering VET regulation in a non-referring state/territory as the case requires.</w:t>
      </w:r>
    </w:p>
    <w:p w:rsidR="00000000" w:rsidRPr="00416C60" w:rsidP="00416C60">
      <w:pPr>
        <w:pStyle w:val="ListBullet"/>
      </w:pPr>
      <w:r w:rsidRPr="00416C60">
        <w:t>Where possible, assessment m</w:t>
      </w:r>
      <w:r w:rsidRPr="00416C60">
        <w:t>ust occur in operational workplace situations. Where this is not possible or where personal safety or environmental damage are limiting factors, assessment must occur in a sufficiently rigorous simulated environment that reflects realistic operational work</w:t>
      </w:r>
      <w:r w:rsidRPr="00416C60">
        <w:t>place conditions that cover all aspects of workplace performance, including environment, task skills, task management skills, contingency management skills and job role environment skills.</w:t>
      </w:r>
    </w:p>
    <w:p w:rsidR="00000000" w:rsidRPr="00416C60" w:rsidP="00416C60">
      <w:pPr>
        <w:pStyle w:val="ListBullet"/>
      </w:pPr>
      <w:r w:rsidRPr="00416C60">
        <w:t>Conditions for assessment must include access to all tools, equipme</w:t>
      </w:r>
      <w:r w:rsidRPr="00416C60">
        <w:t>nt, materials and documentation required including relevant workplace procedures, product and manufacturing specifications.</w:t>
      </w:r>
    </w:p>
    <w:p w:rsidR="007C0DED" w:rsidP="00416C60">
      <w:pPr>
        <w:pStyle w:val="ListBullet"/>
      </w:pPr>
      <w:r w:rsidRPr="00416C60">
        <w:t>Assessment processes and techniques must be appropriate to the language, literacy and numeracy requirements of the work being perfor</w:t>
      </w:r>
      <w:r w:rsidRPr="00416C60">
        <w:t>med and the needs of the candidate.</w:t>
      </w:r>
    </w:p>
    <w:p w:rsidR="007C0DED" w:rsidP="00416C60">
      <w:pPr>
        <w:pStyle w:val="ListBullet"/>
      </w:pPr>
    </w:p>
    <w:p w:rsidR="00000000" w:rsidRPr="00416C60" w:rsidP="00416C60">
      <w:pPr>
        <w:pStyle w:val="Heading1"/>
      </w:pPr>
      <w:bookmarkStart w:id="5" w:name="O_949993"/>
      <w:bookmarkEnd w:id="5"/>
      <w:r w:rsidRPr="00416C60">
        <w:t>Links</w:t>
      </w:r>
    </w:p>
    <w:p w:rsidR="00000000" w:rsidRPr="00416C60" w:rsidP="007C0DED">
      <w:pPr>
        <w:pStyle w:val="BodyText"/>
      </w:pPr>
      <w:r w:rsidRPr="00416C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F3B8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16C60" w:rsidP="00416C60"/>
    <w:sectPr w:rsidSect="00416C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C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C60" w:rsidRPr="007C0DED" w:rsidP="007C0D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C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DED" w:rsidP="00416C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0DED" w:rsidP="00416C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C0DED" w:rsidP="00416C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C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D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C60" w:rsidRPr="007C0DED" w:rsidP="007C0D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C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DED" w:rsidRPr="002D2AF8" w:rsidP="00416C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MEM48015 Select metal forming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C0DED" w:rsidP="00416C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D2FF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B6B8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A0B5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C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6C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6C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6C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6C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6C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6C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6C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6C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6C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6C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6C60"/>
  </w:style>
  <w:style w:type="character" w:customStyle="1" w:styleId="Heading1Char">
    <w:name w:val="Heading 1 Char"/>
    <w:basedOn w:val="DefaultParagraphFont"/>
    <w:link w:val="Heading1"/>
    <w:rsid w:val="00416C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6C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6C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6C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6C6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6C60"/>
    <w:rPr>
      <w:i/>
    </w:rPr>
  </w:style>
  <w:style w:type="paragraph" w:customStyle="1" w:styleId="SuperHeading">
    <w:name w:val="SuperHeading"/>
    <w:basedOn w:val="Normal"/>
    <w:rsid w:val="00416C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6C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6C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6C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6C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6C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6C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6C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6C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6C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6C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6C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6C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6C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6C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6C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6C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6C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6C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6C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6C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6C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6C60"/>
    <w:rPr>
      <w:b/>
      <w:spacing w:val="0"/>
    </w:rPr>
  </w:style>
  <w:style w:type="paragraph" w:customStyle="1" w:styleId="SuperTitle">
    <w:name w:val="SuperTitle"/>
    <w:basedOn w:val="Title"/>
    <w:rsid w:val="00416C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6C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6C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6C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6C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6C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6C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6C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6C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6C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6C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6C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6C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6C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6C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6C60"/>
  </w:style>
  <w:style w:type="paragraph" w:styleId="TableofFigures">
    <w:name w:val="table of figures"/>
    <w:basedOn w:val="Normal"/>
    <w:next w:val="Normal"/>
    <w:semiHidden/>
    <w:rsid w:val="00416C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6C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6C60"/>
    <w:rPr>
      <w:rFonts w:ascii="Wingdings" w:hAnsi="Wingdings"/>
    </w:rPr>
  </w:style>
  <w:style w:type="paragraph" w:customStyle="1" w:styleId="TableHeading">
    <w:name w:val="Table Heading"/>
    <w:basedOn w:val="HeadingBase"/>
    <w:rsid w:val="00416C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6C60"/>
    <w:rPr>
      <w:color w:val="0033CC"/>
      <w:u w:val="none"/>
    </w:rPr>
  </w:style>
  <w:style w:type="paragraph" w:customStyle="1" w:styleId="BodyTextRight">
    <w:name w:val="Body Text Right"/>
    <w:basedOn w:val="BodyText"/>
    <w:rsid w:val="00416C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6C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6C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6C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6C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6C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6C60"/>
    <w:rPr>
      <w:sz w:val="32"/>
    </w:rPr>
  </w:style>
  <w:style w:type="paragraph" w:customStyle="1" w:styleId="HeadingProcedure">
    <w:name w:val="Heading Procedure"/>
    <w:basedOn w:val="HeadingBase"/>
    <w:next w:val="Normal"/>
    <w:rsid w:val="00416C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6C60"/>
    <w:pPr>
      <w:spacing w:before="60" w:after="60"/>
    </w:pPr>
  </w:style>
  <w:style w:type="paragraph" w:styleId="ListContinue">
    <w:name w:val="List Continue"/>
    <w:basedOn w:val="List"/>
    <w:rsid w:val="00416C60"/>
    <w:pPr>
      <w:ind w:firstLine="0"/>
    </w:pPr>
  </w:style>
  <w:style w:type="paragraph" w:customStyle="1" w:styleId="ListNote">
    <w:name w:val="List Note"/>
    <w:basedOn w:val="List"/>
    <w:rsid w:val="00416C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6C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6C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6C60"/>
    <w:rPr>
      <w:rFonts w:ascii="Courier New" w:hAnsi="Courier New"/>
    </w:rPr>
  </w:style>
  <w:style w:type="paragraph" w:customStyle="1" w:styleId="NoteBullet">
    <w:name w:val="Note Bullet"/>
    <w:basedOn w:val="Note"/>
    <w:rsid w:val="00416C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6C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6C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6C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6C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6C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6C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6C60"/>
    <w:rPr>
      <w:b/>
      <w:smallCaps/>
    </w:rPr>
  </w:style>
  <w:style w:type="paragraph" w:customStyle="1" w:styleId="TableListNumber">
    <w:name w:val="Table List Number"/>
    <w:basedOn w:val="ListNumber"/>
    <w:rsid w:val="00416C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6C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6C60"/>
    <w:pPr>
      <w:numPr>
        <w:numId w:val="9"/>
      </w:numPr>
    </w:pPr>
  </w:style>
  <w:style w:type="paragraph" w:customStyle="1" w:styleId="ListAlpha2">
    <w:name w:val="List Alpha 2"/>
    <w:basedOn w:val="List2"/>
    <w:rsid w:val="00416C60"/>
    <w:pPr>
      <w:numPr>
        <w:numId w:val="8"/>
      </w:numPr>
    </w:pPr>
  </w:style>
  <w:style w:type="paragraph" w:styleId="List2">
    <w:name w:val="List 2"/>
    <w:basedOn w:val="BodyText"/>
    <w:rsid w:val="00416C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6C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6C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6C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6C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6C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6C60"/>
    <w:pPr>
      <w:numPr>
        <w:numId w:val="4"/>
      </w:numPr>
    </w:pPr>
  </w:style>
  <w:style w:type="paragraph" w:styleId="ListContinue2">
    <w:name w:val="List Continue 2"/>
    <w:basedOn w:val="List2"/>
    <w:rsid w:val="00416C60"/>
    <w:pPr>
      <w:ind w:firstLine="0"/>
    </w:pPr>
  </w:style>
  <w:style w:type="paragraph" w:styleId="ListContinue3">
    <w:name w:val="List Continue 3"/>
    <w:basedOn w:val="List3"/>
    <w:rsid w:val="00416C60"/>
    <w:pPr>
      <w:ind w:left="1021" w:firstLine="0"/>
    </w:pPr>
  </w:style>
  <w:style w:type="paragraph" w:styleId="ListContinue4">
    <w:name w:val="List Continue 4"/>
    <w:basedOn w:val="List4"/>
    <w:rsid w:val="00416C60"/>
    <w:pPr>
      <w:ind w:firstLine="0"/>
    </w:pPr>
  </w:style>
  <w:style w:type="paragraph" w:styleId="ListContinue5">
    <w:name w:val="List Continue 5"/>
    <w:basedOn w:val="List5"/>
    <w:rsid w:val="00416C60"/>
    <w:pPr>
      <w:ind w:firstLine="0"/>
    </w:pPr>
  </w:style>
  <w:style w:type="paragraph" w:styleId="ListNumber3">
    <w:name w:val="List Number 3"/>
    <w:basedOn w:val="List3"/>
    <w:rsid w:val="00416C60"/>
    <w:pPr>
      <w:numPr>
        <w:numId w:val="5"/>
      </w:numPr>
    </w:pPr>
  </w:style>
  <w:style w:type="paragraph" w:styleId="ListNumber4">
    <w:name w:val="List Number 4"/>
    <w:basedOn w:val="List4"/>
    <w:rsid w:val="00416C60"/>
    <w:pPr>
      <w:numPr>
        <w:numId w:val="6"/>
      </w:numPr>
    </w:pPr>
  </w:style>
  <w:style w:type="paragraph" w:styleId="ListNumber5">
    <w:name w:val="List Number 5"/>
    <w:basedOn w:val="List5"/>
    <w:rsid w:val="00416C60"/>
    <w:pPr>
      <w:numPr>
        <w:numId w:val="7"/>
      </w:numPr>
    </w:pPr>
  </w:style>
  <w:style w:type="paragraph" w:styleId="BlockText">
    <w:name w:val="Block Text"/>
    <w:basedOn w:val="Normal"/>
    <w:rsid w:val="00416C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6C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6C60"/>
    <w:rPr>
      <w:sz w:val="16"/>
      <w:vertAlign w:val="superscript"/>
    </w:rPr>
  </w:style>
  <w:style w:type="character" w:customStyle="1" w:styleId="Symbols">
    <w:name w:val="Symbols"/>
    <w:basedOn w:val="DefaultParagraphFont"/>
    <w:rsid w:val="00416C60"/>
    <w:rPr>
      <w:rFonts w:ascii="Symbol" w:hAnsi="Symbol"/>
    </w:rPr>
  </w:style>
  <w:style w:type="character" w:customStyle="1" w:styleId="MenuOptions">
    <w:name w:val="Menu Options"/>
    <w:basedOn w:val="DefaultParagraphFont"/>
    <w:rsid w:val="00416C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6C60"/>
    <w:rPr>
      <w:b/>
    </w:rPr>
  </w:style>
  <w:style w:type="character" w:customStyle="1" w:styleId="Underlined">
    <w:name w:val="Underlined"/>
    <w:basedOn w:val="DefaultParagraphFont"/>
    <w:rsid w:val="00416C60"/>
    <w:rPr>
      <w:u w:val="single"/>
    </w:rPr>
  </w:style>
  <w:style w:type="paragraph" w:customStyle="1" w:styleId="TableBodyTextRight">
    <w:name w:val="Table Body Text Right"/>
    <w:basedOn w:val="TableBodyText"/>
    <w:rsid w:val="00416C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6C60"/>
    <w:rPr>
      <w:sz w:val="18"/>
    </w:rPr>
  </w:style>
  <w:style w:type="paragraph" w:customStyle="1" w:styleId="BodySmallRight">
    <w:name w:val="Body Small Right"/>
    <w:basedOn w:val="BodyTextRight"/>
    <w:rsid w:val="00416C60"/>
    <w:rPr>
      <w:sz w:val="18"/>
      <w:szCs w:val="18"/>
    </w:rPr>
  </w:style>
  <w:style w:type="paragraph" w:customStyle="1" w:styleId="MarginEdition">
    <w:name w:val="Margin Edition"/>
    <w:basedOn w:val="MarginNote"/>
    <w:rsid w:val="00416C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6C60"/>
    <w:rPr>
      <w:sz w:val="2"/>
      <w:szCs w:val="2"/>
    </w:rPr>
  </w:style>
  <w:style w:type="character" w:customStyle="1" w:styleId="Small">
    <w:name w:val="Small"/>
    <w:basedOn w:val="DefaultParagraphFont"/>
    <w:rsid w:val="00416C60"/>
    <w:rPr>
      <w:sz w:val="16"/>
    </w:rPr>
  </w:style>
  <w:style w:type="paragraph" w:customStyle="1" w:styleId="WideTable">
    <w:name w:val="Wide Table"/>
    <w:basedOn w:val="Normal"/>
    <w:rsid w:val="00416C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6C60"/>
  </w:style>
  <w:style w:type="paragraph" w:styleId="Quote">
    <w:name w:val="Quote"/>
    <w:basedOn w:val="Heading1"/>
    <w:link w:val="QuoteChar"/>
    <w:qFormat/>
    <w:rsid w:val="00416C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6C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6C60"/>
    <w:pPr>
      <w:pageBreakBefore/>
    </w:pPr>
  </w:style>
  <w:style w:type="paragraph" w:customStyle="1" w:styleId="Border">
    <w:name w:val="Border"/>
    <w:basedOn w:val="Normal"/>
    <w:qFormat/>
    <w:rsid w:val="00416C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6C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C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C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6C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6C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6C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6C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6C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6C60"/>
    <w:rPr>
      <w:u w:val="single"/>
    </w:rPr>
  </w:style>
  <w:style w:type="character" w:customStyle="1" w:styleId="BoldandItalics">
    <w:name w:val="Bold and Italics"/>
    <w:qFormat/>
    <w:rsid w:val="00416C60"/>
    <w:rPr>
      <w:b/>
      <w:i/>
      <w:u w:val="none"/>
    </w:rPr>
  </w:style>
  <w:style w:type="paragraph" w:styleId="BalloonText">
    <w:name w:val="Balloon Text"/>
    <w:basedOn w:val="Normal"/>
    <w:link w:val="BalloonTextChar"/>
    <w:rsid w:val="00416C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C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6C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6C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6C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6C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6C60"/>
    <w:pPr>
      <w:spacing w:before="0" w:after="0"/>
    </w:pPr>
  </w:style>
  <w:style w:type="paragraph" w:customStyle="1" w:styleId="BodyTextBold">
    <w:name w:val="Body Text Bold"/>
    <w:basedOn w:val="BodyText"/>
    <w:qFormat/>
    <w:rsid w:val="00416C60"/>
    <w:rPr>
      <w:b/>
    </w:rPr>
  </w:style>
  <w:style w:type="character" w:styleId="Hyperlink">
    <w:name w:val="Hyperlink"/>
    <w:basedOn w:val="DefaultParagraphFont"/>
    <w:uiPriority w:val="99"/>
    <w:unhideWhenUsed/>
    <w:rsid w:val="007C0D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4289</Characters>
  <Application>Microsoft Office Word</Application>
  <DocSecurity>0</DocSecurity>
  <Lines>89</Lines>
  <Paragraphs>53</Paragraphs>
  <ScaleCrop>false</ScaleCrop>
  <Company>Author-it Software Corporation Ltd.</Company>
  <LinksUpToDate>false</LinksUpToDate>
  <CharactersWithSpaces>4848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MEM48015 Select metal forming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2023-02-03T07:01:00Z</dcterms:created>
  <dcterms:modified xsi:type="dcterms:W3CDTF">2023-02-03T07:01:00Z</dcterms:modified>
</cp:coreProperties>
</file>