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659" w:rsidP="00765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MEM48014 Recommend a refractory for an application</w:t>
      </w:r>
      <w:r>
        <w:fldChar w:fldCharType="end"/>
      </w:r>
    </w:p>
    <w:p w:rsidR="00765659" w:rsidP="00765659">
      <w:pPr>
        <w:pStyle w:val="Version"/>
        <w:sectPr w:rsidSect="00885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E88" w:rsidP="00885E88">
      <w:pPr>
        <w:pStyle w:val="SuperHeading"/>
      </w:pPr>
      <w:r w:rsidRPr="00885E88">
        <w:t>MEM48014 Recommend a refractory for an application</w:t>
      </w:r>
    </w:p>
    <w:p w:rsidR="00000000" w:rsidRPr="00885E88" w:rsidP="00885E88">
      <w:pPr>
        <w:pStyle w:val="Heading1"/>
      </w:pPr>
      <w:bookmarkStart w:id="1" w:name="O_949979"/>
      <w:bookmarkEnd w:id="1"/>
      <w:r w:rsidRPr="00885E88">
        <w:t>Modification History</w:t>
      </w:r>
    </w:p>
    <w:p w:rsidR="00765659" w:rsidP="00765659">
      <w:pPr>
        <w:pStyle w:val="BodyText"/>
      </w:pPr>
      <w:r w:rsidRPr="00885E88">
        <w:t>Release 1. Supersedes and is equivalent to MSATCM503A Recommend a refractory for an application.</w:t>
      </w:r>
    </w:p>
    <w:p w:rsidR="00000000" w:rsidRPr="00885E88" w:rsidP="00885E88">
      <w:pPr>
        <w:pStyle w:val="Heading1"/>
      </w:pPr>
      <w:bookmarkStart w:id="2" w:name="O_949987"/>
      <w:bookmarkEnd w:id="2"/>
      <w:r w:rsidRPr="00885E88">
        <w:t>Application</w:t>
      </w:r>
    </w:p>
    <w:p w:rsidR="00000000" w:rsidRPr="00885E88" w:rsidP="00765659">
      <w:pPr>
        <w:pStyle w:val="BodyText"/>
      </w:pPr>
      <w:r w:rsidRPr="00885E88">
        <w:t>This unit of competency defines the knowledge and skills required to recommend a refractory for an a</w:t>
      </w:r>
      <w:r w:rsidRPr="00885E88">
        <w:t>pplication based on knowledge of the properties, application and modes of failure of the principal refractories.</w:t>
      </w:r>
    </w:p>
    <w:p w:rsidR="00000000" w:rsidRPr="00885E88" w:rsidP="00765659">
      <w:pPr>
        <w:pStyle w:val="BodyText"/>
      </w:pPr>
      <w:r w:rsidRPr="00885E88">
        <w:t>It applies where a technician is involved with the development of a new product or process, or the improvement or redesign of an existing produ</w:t>
      </w:r>
      <w:r w:rsidRPr="00885E88">
        <w:t>ct or process. As part of this, the requirements for an appropriate refractory material will need to be considered and a recommendation as to the type of refractory which will be appropriate for the situation is made.</w:t>
      </w:r>
    </w:p>
    <w:p w:rsidR="00765659" w:rsidP="00765659">
      <w:pPr>
        <w:pStyle w:val="BodyText"/>
      </w:pPr>
      <w:r w:rsidRPr="00885E88">
        <w:t>No licensing, legislative or certifica</w:t>
      </w:r>
      <w:r w:rsidRPr="00885E88">
        <w:t>tion requirements apply to this unit at the time of publication.</w:t>
      </w:r>
    </w:p>
    <w:p w:rsidR="00000000" w:rsidRPr="00885E88" w:rsidP="00885E88">
      <w:pPr>
        <w:pStyle w:val="Heading1"/>
      </w:pPr>
      <w:bookmarkStart w:id="3" w:name="O_949986"/>
      <w:bookmarkEnd w:id="3"/>
      <w:r w:rsidRPr="00885E88">
        <w:t>Pre-requisite Unit</w:t>
      </w:r>
    </w:p>
    <w:p w:rsidR="00000000" w:rsidRPr="00885E88" w:rsidP="00765659">
      <w:pPr>
        <w:pStyle w:val="BodyText"/>
      </w:pPr>
      <w:r w:rsidRPr="00885E88">
        <w:t>Nil</w:t>
      </w:r>
    </w:p>
    <w:p w:rsidR="00000000" w:rsidRPr="00885E88" w:rsidP="00885E88">
      <w:pPr>
        <w:pStyle w:val="Heading1"/>
      </w:pPr>
      <w:bookmarkStart w:id="4" w:name="O_949985"/>
      <w:bookmarkEnd w:id="4"/>
      <w:r w:rsidRPr="00885E88">
        <w:t>Competency Field</w:t>
      </w:r>
    </w:p>
    <w:p w:rsidR="00000000" w:rsidRPr="00885E88" w:rsidP="00765659">
      <w:pPr>
        <w:pStyle w:val="BodyText"/>
      </w:pPr>
      <w:r w:rsidRPr="00885E88">
        <w:t>Metallurgy</w:t>
      </w:r>
    </w:p>
    <w:p w:rsidR="00000000" w:rsidRPr="00885E88" w:rsidP="00885E88">
      <w:pPr>
        <w:pStyle w:val="Heading1"/>
      </w:pPr>
      <w:bookmarkStart w:id="5" w:name="O_949983"/>
      <w:bookmarkEnd w:id="5"/>
      <w:r w:rsidRPr="00885E8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656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BodyText"/>
            </w:pPr>
            <w:r w:rsidRPr="00885E8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rPr>
                <w:rStyle w:val="SpecialBold"/>
              </w:rPr>
              <w:t>Performance Criteria</w:t>
            </w:r>
          </w:p>
        </w:tc>
      </w:tr>
      <w:tr w:rsidTr="007656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BodyText"/>
            </w:pPr>
            <w:r w:rsidRPr="00885E88">
              <w:rPr>
                <w:rStyle w:val="Emphasis"/>
              </w:rPr>
              <w:t xml:space="preserve">Elements describe the </w:t>
            </w:r>
            <w:r w:rsidRPr="00885E88">
              <w:t xml:space="preserve">essential </w:t>
            </w:r>
            <w:r w:rsidRPr="00885E8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56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BodyText"/>
            </w:pPr>
            <w:r w:rsidRPr="00885E88">
              <w:t>1.1 Follow standard operating procedures (SOPs)</w:t>
            </w:r>
          </w:p>
          <w:p w:rsidR="00000000" w:rsidRPr="00885E88" w:rsidP="00885E88">
            <w:pPr>
              <w:pStyle w:val="BodyText"/>
            </w:pPr>
            <w:r w:rsidRPr="00885E88">
              <w:t xml:space="preserve">1.2 Comply with work health and safety (WHS) requirements at </w:t>
            </w:r>
            <w:r w:rsidRPr="00885E88">
              <w:t>all times</w:t>
            </w:r>
          </w:p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1.3 Identify job requirements from specifications, job sheets or work instructions</w:t>
            </w:r>
          </w:p>
        </w:tc>
      </w:tr>
      <w:tr w:rsidTr="007656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2. Identify the process requirements for a refractory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BodyText"/>
            </w:pPr>
            <w:r w:rsidRPr="00885E88">
              <w:t>2.1 Identify the pH of the metallurgical slags</w:t>
            </w:r>
          </w:p>
          <w:p w:rsidR="00000000" w:rsidRPr="00885E88" w:rsidP="00885E88">
            <w:pPr>
              <w:pStyle w:val="BodyText"/>
            </w:pPr>
            <w:r w:rsidRPr="00885E88">
              <w:t>2.2 Determine the insulating requirements from the refractory</w:t>
            </w:r>
          </w:p>
          <w:p w:rsidR="00000000" w:rsidRPr="00885E88" w:rsidP="00885E88">
            <w:pPr>
              <w:pStyle w:val="BodyText"/>
            </w:pPr>
            <w:r w:rsidRPr="00885E88">
              <w:t>2.3 Determine other process requirements from the refractory</w:t>
            </w:r>
          </w:p>
          <w:p w:rsidR="00000000" w:rsidRPr="00885E88" w:rsidP="00885E88">
            <w:pPr>
              <w:pStyle w:val="BodyText"/>
            </w:pPr>
            <w:r w:rsidRPr="00885E88">
              <w:t>2.4 Identify likely process causes of refractory failure</w:t>
            </w:r>
          </w:p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2.5 Specify refractory needs in terms of physical and chemical properties required</w:t>
            </w:r>
          </w:p>
        </w:tc>
      </w:tr>
      <w:tr w:rsidTr="007656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3. Recommend type of refractory material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BodyText"/>
            </w:pPr>
            <w:r w:rsidRPr="00885E88">
              <w:t>3.1 Select a</w:t>
            </w:r>
            <w:r w:rsidRPr="00885E88">
              <w:t xml:space="preserve"> refractory class suitable for the pH of the metallurgical slag</w:t>
            </w:r>
          </w:p>
          <w:p w:rsidR="00000000" w:rsidRPr="00885E88" w:rsidP="00885E88">
            <w:pPr>
              <w:pStyle w:val="BodyText"/>
            </w:pPr>
            <w:r w:rsidRPr="00885E88">
              <w:t>3.2 Shortlist refractory materials within that class suitable for the insulating and other process demands</w:t>
            </w:r>
          </w:p>
          <w:p w:rsidR="00000000" w:rsidRPr="00885E88" w:rsidP="00885E88">
            <w:pPr>
              <w:pStyle w:val="BodyText"/>
            </w:pPr>
            <w:r w:rsidRPr="00885E88">
              <w:t>3.3 Contrast the principal modes of failure for each short-listed refractory with the</w:t>
            </w:r>
            <w:r w:rsidRPr="00885E88">
              <w:t xml:space="preserve"> likely process causes of refractory failure</w:t>
            </w:r>
          </w:p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3.4 Recommend suitable refractory materials for the job</w:t>
            </w:r>
          </w:p>
        </w:tc>
      </w:tr>
      <w:tr w:rsidTr="007656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4. Consider economic and technical implications of different modes of installation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BodyText"/>
            </w:pPr>
            <w:r w:rsidRPr="00885E88">
              <w:t>4.1 Compare possible alternative refractory materials</w:t>
            </w:r>
          </w:p>
          <w:p w:rsidR="00000000" w:rsidRPr="00885E88" w:rsidP="00885E88">
            <w:pPr>
              <w:pStyle w:val="BodyText"/>
            </w:pPr>
            <w:r w:rsidRPr="00885E88">
              <w:t>4.2 Compare possi</w:t>
            </w:r>
            <w:r w:rsidRPr="00885E88">
              <w:t>ble alternative installation methods</w:t>
            </w:r>
          </w:p>
          <w:p w:rsidR="00000000" w:rsidRPr="00885E88" w:rsidP="00885E88">
            <w:pPr>
              <w:pStyle w:val="BodyText"/>
            </w:pPr>
            <w:r w:rsidRPr="00885E88">
              <w:t>4.3 Consider alternative materials with different installation methods and their overall technical and economic performance</w:t>
            </w:r>
          </w:p>
          <w:p w:rsidR="00000000" w:rsidRPr="00885E88" w:rsidP="00885E88">
            <w:pPr>
              <w:pStyle w:val="BodyText"/>
            </w:pPr>
            <w:r w:rsidRPr="00885E88">
              <w:t>4.4 Recommend a refractory material and a method of installation which delivers the best econom</w:t>
            </w:r>
            <w:r w:rsidRPr="00885E88">
              <w:t>ic and technical performance for the application</w:t>
            </w:r>
          </w:p>
        </w:tc>
      </w:tr>
    </w:tbl>
    <w:p w:rsidR="00765659" w:rsidP="00885E88">
      <w:pPr>
        <w:pStyle w:val="BodyText"/>
      </w:pPr>
    </w:p>
    <w:p w:rsidR="00765659" w:rsidP="00885E88">
      <w:pPr>
        <w:pStyle w:val="BodyText"/>
      </w:pPr>
    </w:p>
    <w:p w:rsidR="00000000" w:rsidRPr="00885E88" w:rsidP="00885E88">
      <w:pPr>
        <w:pStyle w:val="Heading1"/>
      </w:pPr>
      <w:bookmarkStart w:id="6" w:name="O_949982"/>
      <w:bookmarkEnd w:id="6"/>
      <w:r w:rsidRPr="00885E88">
        <w:t>Foundation Skills</w:t>
      </w:r>
    </w:p>
    <w:p w:rsidR="00000000" w:rsidRPr="00885E88" w:rsidP="00765659">
      <w:pPr>
        <w:pStyle w:val="BodyText"/>
      </w:pPr>
      <w:r w:rsidRPr="00885E88">
        <w:t>This section describes those language, literacy, numeracy and employment skills that are essential to performance.</w:t>
      </w:r>
    </w:p>
    <w:p w:rsidR="00765659" w:rsidP="00765659">
      <w:pPr>
        <w:pStyle w:val="BodyText"/>
      </w:pPr>
      <w:r w:rsidRPr="00885E88">
        <w:t>Foundation skills essential to performance are explicit in the performance criteria of this unit of competency.</w:t>
      </w:r>
    </w:p>
    <w:p w:rsidR="00000000" w:rsidRPr="00885E88" w:rsidP="00885E88">
      <w:pPr>
        <w:pStyle w:val="Heading1"/>
      </w:pPr>
      <w:bookmarkStart w:id="7" w:name="O_949981"/>
      <w:bookmarkEnd w:id="7"/>
      <w:r w:rsidRPr="00885E88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85E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This field allows for different work environments and conditions that may affect performance. Essential op</w:t>
            </w:r>
            <w:r w:rsidRPr="00885E88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885E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Principal refractories</w:t>
            </w:r>
            <w:r w:rsidRPr="00885E88">
              <w:rPr>
                <w:rStyle w:val="SpecialBold"/>
              </w:rPr>
              <w:t xml:space="preserve"> </w:t>
            </w:r>
            <w:r w:rsidRPr="00885E88">
              <w:t>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ListBullet"/>
            </w:pPr>
            <w:r w:rsidRPr="00885E88">
              <w:t>silica</w:t>
            </w:r>
          </w:p>
          <w:p w:rsidR="00000000" w:rsidRPr="00885E88" w:rsidP="00885E88">
            <w:pPr>
              <w:pStyle w:val="ListBullet"/>
            </w:pPr>
            <w:r w:rsidRPr="00885E88">
              <w:t>alumino silicates</w:t>
            </w:r>
          </w:p>
          <w:p w:rsidR="00000000" w:rsidRPr="00885E88" w:rsidP="00885E88">
            <w:pPr>
              <w:pStyle w:val="ListBullet"/>
            </w:pPr>
            <w:r w:rsidRPr="00885E88">
              <w:t>dolomite</w:t>
            </w:r>
          </w:p>
          <w:p w:rsidR="00000000" w:rsidRPr="00885E88" w:rsidP="00885E88">
            <w:pPr>
              <w:pStyle w:val="ListBullet"/>
            </w:pPr>
            <w:r w:rsidRPr="00885E88">
              <w:t>magnesi</w:t>
            </w:r>
            <w:r w:rsidRPr="00885E88">
              <w:t xml:space="preserve">te-chrome </w:t>
            </w:r>
          </w:p>
          <w:p w:rsidR="00000000" w:rsidRPr="00885E88" w:rsidP="00885E88">
            <w:pPr>
              <w:pStyle w:val="ListBullet"/>
            </w:pPr>
            <w:r w:rsidRPr="00885E88">
              <w:t>chrome-magnesite</w:t>
            </w:r>
          </w:p>
          <w:p w:rsidR="00000000" w:rsidRPr="00885E88" w:rsidP="00885E88">
            <w:pPr>
              <w:pStyle w:val="ListBullet"/>
            </w:pPr>
            <w:r w:rsidRPr="00885E88">
              <w:t>chrome</w:t>
            </w:r>
          </w:p>
          <w:p w:rsidR="00000000" w:rsidRPr="00885E88" w:rsidP="00885E88">
            <w:pPr>
              <w:pStyle w:val="ListBullet"/>
            </w:pPr>
            <w:r w:rsidRPr="00885E88">
              <w:t>insulation and insulating refractories</w:t>
            </w:r>
          </w:p>
          <w:p w:rsidR="00000000" w:rsidRPr="00885E88" w:rsidP="00885E88">
            <w:pPr>
              <w:pStyle w:val="ListBullet"/>
            </w:pPr>
            <w:r w:rsidRPr="00885E88">
              <w:t>special refractories including graphite and silicon carbide</w:t>
            </w:r>
          </w:p>
          <w:p w:rsidR="00000000" w:rsidP="00885E88">
            <w:pPr>
              <w:pStyle w:val="ListBullet"/>
              <w:rPr>
                <w:lang w:val="en-NZ"/>
              </w:rPr>
            </w:pPr>
            <w:r w:rsidRPr="00885E88">
              <w:t>monolithic refractories including cement, plastics, ramming mixes and castables.</w:t>
            </w:r>
          </w:p>
        </w:tc>
      </w:tr>
      <w:tr w:rsidTr="00885E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88">
            <w:pPr>
              <w:pStyle w:val="BodyText"/>
              <w:rPr>
                <w:lang w:val="en-NZ"/>
              </w:rPr>
            </w:pPr>
            <w:r w:rsidRPr="00885E88">
              <w:t>Modes of installation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88" w:rsidP="00885E88">
            <w:pPr>
              <w:pStyle w:val="ListBullet"/>
            </w:pPr>
            <w:r w:rsidRPr="00885E88">
              <w:t>monolithic</w:t>
            </w:r>
          </w:p>
          <w:p w:rsidR="00000000" w:rsidRPr="00885E88" w:rsidP="00885E88">
            <w:pPr>
              <w:pStyle w:val="ListBullet"/>
            </w:pPr>
            <w:r w:rsidRPr="00885E88">
              <w:t>fired shape structures</w:t>
            </w:r>
          </w:p>
          <w:p w:rsidR="00000000" w:rsidRPr="00885E88" w:rsidP="00885E88">
            <w:pPr>
              <w:pStyle w:val="ListBullet"/>
            </w:pPr>
            <w:r w:rsidRPr="00885E88">
              <w:t>bricks</w:t>
            </w:r>
          </w:p>
          <w:p w:rsidR="00000000" w:rsidRPr="00885E88" w:rsidP="00885E88">
            <w:pPr>
              <w:pStyle w:val="ListBullet"/>
            </w:pPr>
            <w:r w:rsidRPr="00885E88">
              <w:t>sprayed.</w:t>
            </w:r>
          </w:p>
        </w:tc>
      </w:tr>
    </w:tbl>
    <w:p w:rsidR="00765659" w:rsidP="00885E88">
      <w:pPr>
        <w:pStyle w:val="BodyText"/>
      </w:pPr>
    </w:p>
    <w:p w:rsidR="00765659" w:rsidP="00885E88">
      <w:pPr>
        <w:pStyle w:val="BodyText"/>
      </w:pPr>
    </w:p>
    <w:p w:rsidR="00000000" w:rsidRPr="00885E88" w:rsidP="00885E88">
      <w:pPr>
        <w:pStyle w:val="Heading1"/>
      </w:pPr>
      <w:bookmarkStart w:id="8" w:name="O_949980"/>
      <w:bookmarkEnd w:id="8"/>
      <w:r w:rsidRPr="00885E88">
        <w:t>Unit Mapping Information</w:t>
      </w:r>
    </w:p>
    <w:p w:rsidR="00000000" w:rsidRPr="00885E88" w:rsidP="00765659">
      <w:pPr>
        <w:pStyle w:val="BodyText"/>
      </w:pPr>
      <w:r w:rsidRPr="00885E88">
        <w:t>Release 1. Supersedes and is equivalent to MSATCM503A Recommend a refractory for an application</w:t>
      </w:r>
    </w:p>
    <w:p w:rsidR="00000000" w:rsidRPr="00885E88" w:rsidP="00885E88">
      <w:pPr>
        <w:pStyle w:val="Heading1"/>
      </w:pPr>
      <w:bookmarkStart w:id="9" w:name="O_949973"/>
      <w:bookmarkEnd w:id="9"/>
      <w:r w:rsidRPr="00885E88">
        <w:t>Links</w:t>
      </w:r>
    </w:p>
    <w:p w:rsidR="00000000" w:rsidRPr="00885E88" w:rsidP="00765659">
      <w:pPr>
        <w:pStyle w:val="BodyText"/>
      </w:pPr>
      <w:r w:rsidRPr="00885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0748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85E88" w:rsidP="00885E88"/>
    <w:sectPr w:rsidSect="00885E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88" w:rsidRPr="00765659" w:rsidP="00765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59" w:rsidP="00885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659" w:rsidP="00885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5659" w:rsidP="00885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E88" w:rsidRPr="00765659" w:rsidP="00765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59" w:rsidRPr="002D2AF8" w:rsidP="00885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MEM48014 Recommend a refractory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65659" w:rsidP="00885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28D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AC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E88"/>
  </w:style>
  <w:style w:type="character" w:customStyle="1" w:styleId="Heading1Char">
    <w:name w:val="Heading 1 Char"/>
    <w:basedOn w:val="DefaultParagraphFont"/>
    <w:link w:val="Heading1"/>
    <w:rsid w:val="00885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E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E88"/>
    <w:rPr>
      <w:b/>
      <w:spacing w:val="0"/>
    </w:rPr>
  </w:style>
  <w:style w:type="character" w:styleId="Emphasis">
    <w:name w:val="Emphasis"/>
    <w:basedOn w:val="DefaultParagraphFont"/>
    <w:qFormat/>
    <w:rsid w:val="00885E88"/>
    <w:rPr>
      <w:i/>
    </w:rPr>
  </w:style>
  <w:style w:type="paragraph" w:customStyle="1" w:styleId="SuperHeading">
    <w:name w:val="SuperHeading"/>
    <w:basedOn w:val="Normal"/>
    <w:rsid w:val="00885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E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E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E88"/>
  </w:style>
  <w:style w:type="paragraph" w:styleId="TableofFigures">
    <w:name w:val="table of figures"/>
    <w:basedOn w:val="Normal"/>
    <w:next w:val="Normal"/>
    <w:semiHidden/>
    <w:rsid w:val="00885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E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E88"/>
    <w:rPr>
      <w:rFonts w:ascii="Wingdings" w:hAnsi="Wingdings"/>
    </w:rPr>
  </w:style>
  <w:style w:type="paragraph" w:customStyle="1" w:styleId="TableHeading">
    <w:name w:val="Table Heading"/>
    <w:basedOn w:val="HeadingBase"/>
    <w:rsid w:val="00885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E88"/>
    <w:rPr>
      <w:color w:val="0033CC"/>
      <w:u w:val="none"/>
    </w:rPr>
  </w:style>
  <w:style w:type="paragraph" w:customStyle="1" w:styleId="BodyTextRight">
    <w:name w:val="Body Text Right"/>
    <w:basedOn w:val="BodyText"/>
    <w:rsid w:val="00885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E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E88"/>
    <w:rPr>
      <w:sz w:val="32"/>
    </w:rPr>
  </w:style>
  <w:style w:type="paragraph" w:customStyle="1" w:styleId="HeadingProcedure">
    <w:name w:val="Heading Procedure"/>
    <w:basedOn w:val="HeadingBase"/>
    <w:next w:val="Normal"/>
    <w:rsid w:val="00885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E88"/>
    <w:pPr>
      <w:spacing w:before="60" w:after="60"/>
    </w:pPr>
  </w:style>
  <w:style w:type="paragraph" w:styleId="ListContinue">
    <w:name w:val="List Continue"/>
    <w:basedOn w:val="List"/>
    <w:rsid w:val="00885E88"/>
    <w:pPr>
      <w:ind w:firstLine="0"/>
    </w:pPr>
  </w:style>
  <w:style w:type="paragraph" w:customStyle="1" w:styleId="ListNote">
    <w:name w:val="List Note"/>
    <w:basedOn w:val="List"/>
    <w:rsid w:val="00885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E88"/>
    <w:rPr>
      <w:rFonts w:ascii="Courier New" w:hAnsi="Courier New"/>
    </w:rPr>
  </w:style>
  <w:style w:type="paragraph" w:customStyle="1" w:styleId="NoteBullet">
    <w:name w:val="Note Bullet"/>
    <w:basedOn w:val="Note"/>
    <w:rsid w:val="00885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E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E88"/>
    <w:rPr>
      <w:b/>
      <w:smallCaps/>
    </w:rPr>
  </w:style>
  <w:style w:type="paragraph" w:customStyle="1" w:styleId="TableListNumber">
    <w:name w:val="Table List Number"/>
    <w:basedOn w:val="ListNumber"/>
    <w:rsid w:val="00885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E88"/>
    <w:pPr>
      <w:numPr>
        <w:numId w:val="8"/>
      </w:numPr>
    </w:pPr>
  </w:style>
  <w:style w:type="paragraph" w:customStyle="1" w:styleId="ListAlpha2">
    <w:name w:val="List Alpha 2"/>
    <w:basedOn w:val="List2"/>
    <w:rsid w:val="00885E88"/>
    <w:pPr>
      <w:numPr>
        <w:numId w:val="7"/>
      </w:numPr>
    </w:pPr>
  </w:style>
  <w:style w:type="paragraph" w:styleId="List2">
    <w:name w:val="List 2"/>
    <w:basedOn w:val="BodyText"/>
    <w:rsid w:val="00885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E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E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E88"/>
    <w:pPr>
      <w:numPr>
        <w:numId w:val="3"/>
      </w:numPr>
    </w:pPr>
  </w:style>
  <w:style w:type="paragraph" w:styleId="ListContinue2">
    <w:name w:val="List Continue 2"/>
    <w:basedOn w:val="List2"/>
    <w:rsid w:val="00885E88"/>
    <w:pPr>
      <w:ind w:firstLine="0"/>
    </w:pPr>
  </w:style>
  <w:style w:type="paragraph" w:styleId="ListContinue3">
    <w:name w:val="List Continue 3"/>
    <w:basedOn w:val="List3"/>
    <w:rsid w:val="00885E88"/>
    <w:pPr>
      <w:ind w:left="1021" w:firstLine="0"/>
    </w:pPr>
  </w:style>
  <w:style w:type="paragraph" w:styleId="ListContinue4">
    <w:name w:val="List Continue 4"/>
    <w:basedOn w:val="List4"/>
    <w:rsid w:val="00885E88"/>
    <w:pPr>
      <w:ind w:firstLine="0"/>
    </w:pPr>
  </w:style>
  <w:style w:type="paragraph" w:styleId="ListContinue5">
    <w:name w:val="List Continue 5"/>
    <w:basedOn w:val="List5"/>
    <w:rsid w:val="00885E88"/>
    <w:pPr>
      <w:ind w:firstLine="0"/>
    </w:pPr>
  </w:style>
  <w:style w:type="paragraph" w:styleId="ListNumber3">
    <w:name w:val="List Number 3"/>
    <w:basedOn w:val="List3"/>
    <w:rsid w:val="00885E88"/>
    <w:pPr>
      <w:numPr>
        <w:numId w:val="4"/>
      </w:numPr>
    </w:pPr>
  </w:style>
  <w:style w:type="paragraph" w:styleId="ListNumber4">
    <w:name w:val="List Number 4"/>
    <w:basedOn w:val="List4"/>
    <w:rsid w:val="00885E88"/>
    <w:pPr>
      <w:numPr>
        <w:numId w:val="5"/>
      </w:numPr>
    </w:pPr>
  </w:style>
  <w:style w:type="paragraph" w:styleId="ListNumber5">
    <w:name w:val="List Number 5"/>
    <w:basedOn w:val="List5"/>
    <w:rsid w:val="00885E88"/>
    <w:pPr>
      <w:numPr>
        <w:numId w:val="6"/>
      </w:numPr>
    </w:pPr>
  </w:style>
  <w:style w:type="paragraph" w:styleId="BlockText">
    <w:name w:val="Block Text"/>
    <w:basedOn w:val="Normal"/>
    <w:rsid w:val="00885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E88"/>
    <w:rPr>
      <w:sz w:val="16"/>
      <w:vertAlign w:val="superscript"/>
    </w:rPr>
  </w:style>
  <w:style w:type="character" w:customStyle="1" w:styleId="Symbols">
    <w:name w:val="Symbols"/>
    <w:basedOn w:val="DefaultParagraphFont"/>
    <w:rsid w:val="00885E88"/>
    <w:rPr>
      <w:rFonts w:ascii="Symbol" w:hAnsi="Symbol"/>
    </w:rPr>
  </w:style>
  <w:style w:type="character" w:customStyle="1" w:styleId="MenuOptions">
    <w:name w:val="Menu Options"/>
    <w:basedOn w:val="DefaultParagraphFont"/>
    <w:rsid w:val="00885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E88"/>
    <w:rPr>
      <w:b/>
    </w:rPr>
  </w:style>
  <w:style w:type="character" w:customStyle="1" w:styleId="Underlined">
    <w:name w:val="Underlined"/>
    <w:basedOn w:val="DefaultParagraphFont"/>
    <w:rsid w:val="00885E88"/>
    <w:rPr>
      <w:u w:val="single"/>
    </w:rPr>
  </w:style>
  <w:style w:type="paragraph" w:customStyle="1" w:styleId="TableBodyTextRight">
    <w:name w:val="Table Body Text Right"/>
    <w:basedOn w:val="TableBodyText"/>
    <w:rsid w:val="00885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E88"/>
    <w:rPr>
      <w:sz w:val="18"/>
    </w:rPr>
  </w:style>
  <w:style w:type="paragraph" w:customStyle="1" w:styleId="BodySmallRight">
    <w:name w:val="Body Small Right"/>
    <w:basedOn w:val="BodyTextRight"/>
    <w:rsid w:val="00885E88"/>
    <w:rPr>
      <w:sz w:val="18"/>
      <w:szCs w:val="18"/>
    </w:rPr>
  </w:style>
  <w:style w:type="paragraph" w:customStyle="1" w:styleId="MarginEdition">
    <w:name w:val="Margin Edition"/>
    <w:basedOn w:val="MarginNote"/>
    <w:rsid w:val="00885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E88"/>
    <w:rPr>
      <w:sz w:val="2"/>
      <w:szCs w:val="2"/>
    </w:rPr>
  </w:style>
  <w:style w:type="character" w:customStyle="1" w:styleId="Small">
    <w:name w:val="Small"/>
    <w:basedOn w:val="DefaultParagraphFont"/>
    <w:rsid w:val="00885E88"/>
    <w:rPr>
      <w:sz w:val="16"/>
    </w:rPr>
  </w:style>
  <w:style w:type="paragraph" w:customStyle="1" w:styleId="WideTable">
    <w:name w:val="Wide Table"/>
    <w:basedOn w:val="Normal"/>
    <w:rsid w:val="00885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E88"/>
  </w:style>
  <w:style w:type="paragraph" w:styleId="Quote">
    <w:name w:val="Quote"/>
    <w:basedOn w:val="Heading1"/>
    <w:link w:val="QuoteChar"/>
    <w:qFormat/>
    <w:rsid w:val="00885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E88"/>
    <w:pPr>
      <w:pageBreakBefore/>
    </w:pPr>
  </w:style>
  <w:style w:type="paragraph" w:customStyle="1" w:styleId="Border">
    <w:name w:val="Border"/>
    <w:basedOn w:val="Normal"/>
    <w:qFormat/>
    <w:rsid w:val="00885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E88"/>
    <w:rPr>
      <w:u w:val="single"/>
    </w:rPr>
  </w:style>
  <w:style w:type="character" w:customStyle="1" w:styleId="BoldandItalics">
    <w:name w:val="Bold and Italics"/>
    <w:qFormat/>
    <w:rsid w:val="00885E88"/>
    <w:rPr>
      <w:b/>
      <w:i/>
      <w:u w:val="none"/>
    </w:rPr>
  </w:style>
  <w:style w:type="paragraph" w:styleId="BalloonText">
    <w:name w:val="Balloon Text"/>
    <w:basedOn w:val="Normal"/>
    <w:link w:val="BalloonTextChar"/>
    <w:rsid w:val="00885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E88"/>
    <w:pPr>
      <w:spacing w:before="0" w:after="0"/>
    </w:pPr>
  </w:style>
  <w:style w:type="paragraph" w:customStyle="1" w:styleId="BodyTextBold">
    <w:name w:val="Body Text Bold"/>
    <w:basedOn w:val="BodyText"/>
    <w:qFormat/>
    <w:rsid w:val="00885E88"/>
    <w:rPr>
      <w:b/>
    </w:rPr>
  </w:style>
  <w:style w:type="character" w:styleId="Hyperlink">
    <w:name w:val="Hyperlink"/>
    <w:basedOn w:val="DefaultParagraphFont"/>
    <w:uiPriority w:val="99"/>
    <w:unhideWhenUsed/>
    <w:rsid w:val="00765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3494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MEM48014 Recommend a refractory for an application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