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EB2" w:rsidP="00F93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MEM48014 Recommend a refractory for an application</w:t>
      </w:r>
      <w:r>
        <w:fldChar w:fldCharType="end"/>
      </w:r>
    </w:p>
    <w:p w:rsidR="00F93EB2" w:rsidP="00F93EB2">
      <w:pPr>
        <w:pStyle w:val="Version"/>
        <w:sectPr w:rsidSect="00754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887" w:rsidP="00754887">
      <w:pPr>
        <w:pStyle w:val="SuperHeading"/>
      </w:pPr>
      <w:r w:rsidRPr="00754887">
        <w:t>Assessment Requirements for MEM48014 Recommend a refractory for an application</w:t>
      </w:r>
    </w:p>
    <w:p w:rsidR="00000000" w:rsidRPr="00754887" w:rsidP="00754887">
      <w:pPr>
        <w:pStyle w:val="Heading1"/>
      </w:pPr>
      <w:bookmarkStart w:id="1" w:name="O_949975"/>
      <w:bookmarkEnd w:id="1"/>
      <w:r w:rsidRPr="00754887">
        <w:t>Modification History</w:t>
      </w:r>
    </w:p>
    <w:p w:rsidR="00F93EB2" w:rsidP="00F93EB2">
      <w:pPr>
        <w:pStyle w:val="BodyText"/>
      </w:pPr>
      <w:r w:rsidRPr="00754887">
        <w:t>Release 1. Supersedes and is equivalent to MSATCM503A Recommend a refractory for an application.</w:t>
      </w:r>
    </w:p>
    <w:p w:rsidR="00000000" w:rsidRPr="00754887" w:rsidP="00754887">
      <w:pPr>
        <w:pStyle w:val="Heading1"/>
      </w:pPr>
      <w:bookmarkStart w:id="2" w:name="O_949978"/>
      <w:bookmarkEnd w:id="2"/>
      <w:r w:rsidRPr="00754887">
        <w:t>Performance Evidence</w:t>
      </w:r>
    </w:p>
    <w:p w:rsidR="00000000" w:rsidRPr="00754887" w:rsidP="00F93EB2">
      <w:pPr>
        <w:pStyle w:val="BodyText"/>
      </w:pPr>
      <w:r w:rsidRPr="00754887">
        <w:t>Evidence required to demonstrate competence in this unit must be relevant to and satisfy the requirements of the elements and performance criteria and include:</w:t>
      </w:r>
    </w:p>
    <w:p w:rsidR="00000000" w:rsidRPr="00754887" w:rsidP="00754887">
      <w:pPr>
        <w:pStyle w:val="ListBullet"/>
      </w:pPr>
      <w:r w:rsidRPr="00754887">
        <w:t>following work instructions, standard operating procedures (SOPs) and safe work practices</w:t>
      </w:r>
    </w:p>
    <w:p w:rsidR="00000000" w:rsidRPr="00754887" w:rsidP="00754887">
      <w:pPr>
        <w:pStyle w:val="ListBullet"/>
      </w:pPr>
      <w:r w:rsidRPr="00754887">
        <w:t>apply</w:t>
      </w:r>
      <w:r w:rsidRPr="00754887">
        <w:t>ing principles to determine the pH of metallurgical slags</w:t>
      </w:r>
    </w:p>
    <w:p w:rsidR="00000000" w:rsidRPr="00754887" w:rsidP="00754887">
      <w:pPr>
        <w:pStyle w:val="ListBullet"/>
      </w:pPr>
      <w:r w:rsidRPr="00754887">
        <w:t>selecting appropriate refractories on at least two occasions for an application</w:t>
      </w:r>
    </w:p>
    <w:p w:rsidR="00000000" w:rsidRPr="00754887" w:rsidP="00754887">
      <w:pPr>
        <w:pStyle w:val="ListBullet"/>
      </w:pPr>
      <w:r w:rsidRPr="00754887">
        <w:t>selecting appropriate method of refractory installation and repair on at least two occasions</w:t>
      </w:r>
    </w:p>
    <w:p w:rsidR="00000000" w:rsidRPr="00754887" w:rsidP="00754887">
      <w:pPr>
        <w:pStyle w:val="ListBullet"/>
      </w:pPr>
      <w:r w:rsidRPr="00754887">
        <w:t>identifying root causes o</w:t>
      </w:r>
      <w:r w:rsidRPr="00754887">
        <w:t>f refractory failures.</w:t>
      </w:r>
    </w:p>
    <w:p w:rsidR="00F93EB2" w:rsidP="00F93EB2">
      <w:pPr>
        <w:pStyle w:val="BodyText"/>
      </w:pPr>
      <w:r w:rsidRPr="00754887">
        <w:t>Note: Where a volume and/or frequency is not specified, demonstration must be provided at least once.</w:t>
      </w:r>
    </w:p>
    <w:p w:rsidR="00000000" w:rsidRPr="00754887" w:rsidP="00754887">
      <w:pPr>
        <w:pStyle w:val="Heading1"/>
      </w:pPr>
      <w:bookmarkStart w:id="3" w:name="O_949977"/>
      <w:bookmarkEnd w:id="3"/>
      <w:r w:rsidRPr="00754887">
        <w:t>Knowledge Evidence</w:t>
      </w:r>
    </w:p>
    <w:p w:rsidR="00000000" w:rsidRPr="00754887" w:rsidP="00F93EB2">
      <w:pPr>
        <w:pStyle w:val="BodyText"/>
      </w:pPr>
      <w:r w:rsidRPr="00754887">
        <w:t xml:space="preserve">Evidence required to demonstrate the required knowledge for this unit must be relevant to and </w:t>
      </w:r>
      <w:r w:rsidRPr="00754887">
        <w:t>satisfy the requirements of the elements and performance criteria and include knowledge of:</w:t>
      </w:r>
    </w:p>
    <w:p w:rsidR="00000000" w:rsidRPr="00754887" w:rsidP="00754887">
      <w:pPr>
        <w:pStyle w:val="ListBullet"/>
      </w:pPr>
      <w:r w:rsidRPr="00754887">
        <w:t>safe work practices and procedures</w:t>
      </w:r>
    </w:p>
    <w:p w:rsidR="00000000" w:rsidRPr="00754887" w:rsidP="00754887">
      <w:pPr>
        <w:pStyle w:val="ListBullet"/>
      </w:pPr>
      <w:r w:rsidRPr="00754887">
        <w:t>metals and their properties and operating temperatures</w:t>
      </w:r>
    </w:p>
    <w:p w:rsidR="00000000" w:rsidRPr="00754887" w:rsidP="00754887">
      <w:pPr>
        <w:pStyle w:val="ListBullet"/>
      </w:pPr>
      <w:r w:rsidRPr="00754887">
        <w:t>furnace operations</w:t>
      </w:r>
    </w:p>
    <w:p w:rsidR="00000000" w:rsidRPr="00754887" w:rsidP="00754887">
      <w:pPr>
        <w:pStyle w:val="ListBullet"/>
      </w:pPr>
      <w:r w:rsidRPr="00754887">
        <w:t>refractory materials including:</w:t>
      </w:r>
    </w:p>
    <w:p w:rsidR="00000000" w:rsidRPr="00754887" w:rsidP="00754887">
      <w:pPr>
        <w:pStyle w:val="ListBullet2"/>
      </w:pPr>
      <w:r w:rsidRPr="00754887">
        <w:t>purposes</w:t>
      </w:r>
    </w:p>
    <w:p w:rsidR="00000000" w:rsidRPr="00754887" w:rsidP="00754887">
      <w:pPr>
        <w:pStyle w:val="ListBullet2"/>
      </w:pPr>
      <w:r w:rsidRPr="00754887">
        <w:t>common defects</w:t>
      </w:r>
    </w:p>
    <w:p w:rsidR="00000000" w:rsidRPr="00754887" w:rsidP="00754887">
      <w:pPr>
        <w:pStyle w:val="ListBullet2"/>
      </w:pPr>
      <w:r w:rsidRPr="00754887">
        <w:t xml:space="preserve">installation </w:t>
      </w:r>
    </w:p>
    <w:p w:rsidR="00000000" w:rsidRPr="00754887" w:rsidP="00754887">
      <w:pPr>
        <w:pStyle w:val="ListBullet2"/>
      </w:pPr>
      <w:r w:rsidRPr="00754887">
        <w:t>fixing techniques</w:t>
      </w:r>
    </w:p>
    <w:p w:rsidR="00000000" w:rsidRPr="00754887" w:rsidP="00754887">
      <w:pPr>
        <w:pStyle w:val="ListBullet"/>
      </w:pPr>
      <w:r w:rsidRPr="00754887">
        <w:t>limitations of refractories</w:t>
      </w:r>
    </w:p>
    <w:p w:rsidR="00F93EB2" w:rsidP="00754887">
      <w:pPr>
        <w:pStyle w:val="ListBullet"/>
      </w:pPr>
      <w:r w:rsidRPr="00754887">
        <w:t>modes of refractory installation.</w:t>
      </w:r>
    </w:p>
    <w:p w:rsidR="00F93EB2" w:rsidP="00754887">
      <w:pPr>
        <w:pStyle w:val="ListBullet"/>
      </w:pPr>
    </w:p>
    <w:p w:rsidR="00000000" w:rsidRPr="00754887" w:rsidP="00754887">
      <w:pPr>
        <w:pStyle w:val="Heading1"/>
      </w:pPr>
      <w:bookmarkStart w:id="4" w:name="O_949976"/>
      <w:bookmarkEnd w:id="4"/>
      <w:r w:rsidRPr="00754887">
        <w:t>Assessment Conditions</w:t>
      </w:r>
    </w:p>
    <w:p w:rsidR="00000000" w:rsidRPr="00754887" w:rsidP="00754887">
      <w:pPr>
        <w:pStyle w:val="ListBullet"/>
      </w:pPr>
      <w:r w:rsidRPr="00754887">
        <w:t>Assessors must:</w:t>
      </w:r>
    </w:p>
    <w:p w:rsidR="00000000" w:rsidRPr="00754887" w:rsidP="00754887">
      <w:pPr>
        <w:pStyle w:val="ListBullet2"/>
      </w:pPr>
      <w:r w:rsidRPr="00754887">
        <w:t>have vocational competency in recommending a refractory for an application at least to t</w:t>
      </w:r>
      <w:r w:rsidRPr="00754887">
        <w:t>he level being assessed with relevant industry knowledge and experience</w:t>
      </w:r>
    </w:p>
    <w:p w:rsidR="00000000" w:rsidRPr="00754887" w:rsidP="00754887">
      <w:pPr>
        <w:pStyle w:val="ListBullet2"/>
      </w:pPr>
      <w:r w:rsidRPr="00754887">
        <w:t>satisfy the assessor requirements in the Standards for Registered Training Organisations 2015 or its replacement and comply with the National Vocational Education and Training Regulato</w:t>
      </w:r>
      <w:r w:rsidRPr="00754887">
        <w:t>r Act 2011, its replacement or equivalent legislation covering VET regulation in a non-referring State as the case requires</w:t>
      </w:r>
    </w:p>
    <w:p w:rsidR="00000000" w:rsidRPr="00754887" w:rsidP="00754887">
      <w:pPr>
        <w:pStyle w:val="ListBullet"/>
      </w:pPr>
      <w:r w:rsidRPr="00754887">
        <w:t>Where possible assessment must occur in operational workplace situations. Where this is not possible or where personal safety or en</w:t>
      </w:r>
      <w:r w:rsidRPr="00754887">
        <w:t>vironmental damage are limiting factors, assessment must occur in a sufficiently rigorous simulated environment that reflects realistic operational workplace conditions that cover all aspects of workplace performance, including environment, task skills, ta</w:t>
      </w:r>
      <w:r w:rsidRPr="00754887">
        <w:t>sk management skills, contingency management skills and job role environment skills.</w:t>
      </w:r>
    </w:p>
    <w:p w:rsidR="00000000" w:rsidRPr="00754887" w:rsidP="00754887">
      <w:pPr>
        <w:pStyle w:val="ListBullet"/>
      </w:pPr>
      <w:r w:rsidRPr="00754887">
        <w:t xml:space="preserve">Conditions for assessment must include suitable access to an operating plant or equipment that allows for appropriate and realistic simulation and documentation including </w:t>
      </w:r>
      <w:r w:rsidRPr="00754887">
        <w:t>relevant workplace procedures, industry codes and standards.</w:t>
      </w:r>
    </w:p>
    <w:p w:rsidR="00000000" w:rsidRPr="00754887" w:rsidP="00754887">
      <w:pPr>
        <w:pStyle w:val="ListBullet"/>
      </w:pPr>
      <w:r w:rsidRPr="00754887">
        <w:t>Assessment processes and techniques must be appropriate to the language, literacy and numeracy requirements of the work being performed and the needs of the candidate.</w:t>
      </w:r>
    </w:p>
    <w:p w:rsidR="00000000" w:rsidRPr="00754887" w:rsidP="00754887">
      <w:pPr>
        <w:pStyle w:val="AllowPageBreak"/>
      </w:pPr>
    </w:p>
    <w:p w:rsidR="00000000" w:rsidRPr="00754887" w:rsidP="00754887">
      <w:pPr>
        <w:pStyle w:val="Heading1"/>
      </w:pPr>
      <w:bookmarkStart w:id="5" w:name="O_949974"/>
      <w:bookmarkEnd w:id="5"/>
      <w:r w:rsidRPr="00754887">
        <w:t>Links</w:t>
      </w:r>
    </w:p>
    <w:p w:rsidR="00000000" w:rsidRPr="00754887" w:rsidP="00F93EB2">
      <w:pPr>
        <w:pStyle w:val="BodyText"/>
      </w:pPr>
      <w:r w:rsidRPr="007548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1626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54887" w:rsidP="00754887"/>
    <w:sectPr w:rsidSect="00754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7" w:rsidRPr="00F93EB2" w:rsidP="00F93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B2" w:rsidP="00754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3EB2" w:rsidP="00754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93EB2" w:rsidP="00754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887" w:rsidRPr="00F93EB2" w:rsidP="00F93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B2" w:rsidRPr="002D2AF8" w:rsidP="00754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MEM48014 Recommend a refractory for an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93EB2" w:rsidP="00754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622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C27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C020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887"/>
  </w:style>
  <w:style w:type="character" w:customStyle="1" w:styleId="Heading1Char">
    <w:name w:val="Heading 1 Char"/>
    <w:basedOn w:val="DefaultParagraphFont"/>
    <w:link w:val="Heading1"/>
    <w:rsid w:val="00754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8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48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887"/>
    <w:rPr>
      <w:b/>
      <w:spacing w:val="0"/>
    </w:rPr>
  </w:style>
  <w:style w:type="paragraph" w:customStyle="1" w:styleId="SuperTitle">
    <w:name w:val="SuperTitle"/>
    <w:basedOn w:val="Title"/>
    <w:rsid w:val="00754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8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887"/>
    <w:rPr>
      <w:i/>
    </w:rPr>
  </w:style>
  <w:style w:type="paragraph" w:styleId="Caption">
    <w:name w:val="caption"/>
    <w:basedOn w:val="BodyText"/>
    <w:next w:val="Normal"/>
    <w:qFormat/>
    <w:rsid w:val="00754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887"/>
  </w:style>
  <w:style w:type="paragraph" w:styleId="TableofFigures">
    <w:name w:val="table of figures"/>
    <w:basedOn w:val="Normal"/>
    <w:next w:val="Normal"/>
    <w:semiHidden/>
    <w:rsid w:val="00754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887"/>
    <w:rPr>
      <w:rFonts w:ascii="Wingdings" w:hAnsi="Wingdings"/>
    </w:rPr>
  </w:style>
  <w:style w:type="paragraph" w:customStyle="1" w:styleId="TableHeading">
    <w:name w:val="Table Heading"/>
    <w:basedOn w:val="HeadingBase"/>
    <w:rsid w:val="00754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887"/>
    <w:rPr>
      <w:color w:val="0033CC"/>
      <w:u w:val="none"/>
    </w:rPr>
  </w:style>
  <w:style w:type="paragraph" w:customStyle="1" w:styleId="BodyTextRight">
    <w:name w:val="Body Text Right"/>
    <w:basedOn w:val="BodyText"/>
    <w:rsid w:val="00754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887"/>
    <w:rPr>
      <w:sz w:val="32"/>
    </w:rPr>
  </w:style>
  <w:style w:type="paragraph" w:customStyle="1" w:styleId="HeadingProcedure">
    <w:name w:val="Heading Procedure"/>
    <w:basedOn w:val="HeadingBase"/>
    <w:next w:val="Normal"/>
    <w:rsid w:val="00754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887"/>
    <w:pPr>
      <w:spacing w:before="60" w:after="60"/>
    </w:pPr>
  </w:style>
  <w:style w:type="paragraph" w:styleId="ListContinue">
    <w:name w:val="List Continue"/>
    <w:basedOn w:val="List"/>
    <w:rsid w:val="00754887"/>
    <w:pPr>
      <w:ind w:firstLine="0"/>
    </w:pPr>
  </w:style>
  <w:style w:type="paragraph" w:customStyle="1" w:styleId="ListNote">
    <w:name w:val="List Note"/>
    <w:basedOn w:val="List"/>
    <w:rsid w:val="00754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887"/>
    <w:rPr>
      <w:rFonts w:ascii="Courier New" w:hAnsi="Courier New"/>
    </w:rPr>
  </w:style>
  <w:style w:type="paragraph" w:customStyle="1" w:styleId="NoteBullet">
    <w:name w:val="Note Bullet"/>
    <w:basedOn w:val="Note"/>
    <w:rsid w:val="00754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887"/>
    <w:rPr>
      <w:b/>
      <w:smallCaps/>
    </w:rPr>
  </w:style>
  <w:style w:type="paragraph" w:customStyle="1" w:styleId="TableListNumber">
    <w:name w:val="Table List Number"/>
    <w:basedOn w:val="ListNumber"/>
    <w:rsid w:val="00754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887"/>
    <w:pPr>
      <w:numPr>
        <w:numId w:val="9"/>
      </w:numPr>
    </w:pPr>
  </w:style>
  <w:style w:type="paragraph" w:customStyle="1" w:styleId="ListAlpha2">
    <w:name w:val="List Alpha 2"/>
    <w:basedOn w:val="List2"/>
    <w:rsid w:val="00754887"/>
    <w:pPr>
      <w:numPr>
        <w:numId w:val="8"/>
      </w:numPr>
    </w:pPr>
  </w:style>
  <w:style w:type="paragraph" w:styleId="List2">
    <w:name w:val="List 2"/>
    <w:basedOn w:val="BodyText"/>
    <w:rsid w:val="00754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887"/>
    <w:pPr>
      <w:numPr>
        <w:numId w:val="4"/>
      </w:numPr>
    </w:pPr>
  </w:style>
  <w:style w:type="paragraph" w:styleId="ListContinue2">
    <w:name w:val="List Continue 2"/>
    <w:basedOn w:val="List2"/>
    <w:rsid w:val="00754887"/>
    <w:pPr>
      <w:ind w:firstLine="0"/>
    </w:pPr>
  </w:style>
  <w:style w:type="paragraph" w:styleId="ListContinue3">
    <w:name w:val="List Continue 3"/>
    <w:basedOn w:val="List3"/>
    <w:rsid w:val="00754887"/>
    <w:pPr>
      <w:ind w:left="1021" w:firstLine="0"/>
    </w:pPr>
  </w:style>
  <w:style w:type="paragraph" w:styleId="ListContinue4">
    <w:name w:val="List Continue 4"/>
    <w:basedOn w:val="List4"/>
    <w:rsid w:val="00754887"/>
    <w:pPr>
      <w:ind w:firstLine="0"/>
    </w:pPr>
  </w:style>
  <w:style w:type="paragraph" w:styleId="ListContinue5">
    <w:name w:val="List Continue 5"/>
    <w:basedOn w:val="List5"/>
    <w:rsid w:val="00754887"/>
    <w:pPr>
      <w:ind w:firstLine="0"/>
    </w:pPr>
  </w:style>
  <w:style w:type="paragraph" w:styleId="ListNumber3">
    <w:name w:val="List Number 3"/>
    <w:basedOn w:val="List3"/>
    <w:rsid w:val="00754887"/>
    <w:pPr>
      <w:numPr>
        <w:numId w:val="5"/>
      </w:numPr>
    </w:pPr>
  </w:style>
  <w:style w:type="paragraph" w:styleId="ListNumber4">
    <w:name w:val="List Number 4"/>
    <w:basedOn w:val="List4"/>
    <w:rsid w:val="00754887"/>
    <w:pPr>
      <w:numPr>
        <w:numId w:val="6"/>
      </w:numPr>
    </w:pPr>
  </w:style>
  <w:style w:type="paragraph" w:styleId="ListNumber5">
    <w:name w:val="List Number 5"/>
    <w:basedOn w:val="List5"/>
    <w:rsid w:val="00754887"/>
    <w:pPr>
      <w:numPr>
        <w:numId w:val="7"/>
      </w:numPr>
    </w:pPr>
  </w:style>
  <w:style w:type="paragraph" w:styleId="BlockText">
    <w:name w:val="Block Text"/>
    <w:basedOn w:val="Normal"/>
    <w:rsid w:val="00754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887"/>
    <w:rPr>
      <w:sz w:val="16"/>
      <w:vertAlign w:val="superscript"/>
    </w:rPr>
  </w:style>
  <w:style w:type="character" w:customStyle="1" w:styleId="Symbols">
    <w:name w:val="Symbols"/>
    <w:basedOn w:val="DefaultParagraphFont"/>
    <w:rsid w:val="00754887"/>
    <w:rPr>
      <w:rFonts w:ascii="Symbol" w:hAnsi="Symbol"/>
    </w:rPr>
  </w:style>
  <w:style w:type="character" w:customStyle="1" w:styleId="MenuOptions">
    <w:name w:val="Menu Options"/>
    <w:basedOn w:val="DefaultParagraphFont"/>
    <w:rsid w:val="00754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887"/>
    <w:rPr>
      <w:b/>
    </w:rPr>
  </w:style>
  <w:style w:type="character" w:customStyle="1" w:styleId="Underlined">
    <w:name w:val="Underlined"/>
    <w:basedOn w:val="DefaultParagraphFont"/>
    <w:rsid w:val="00754887"/>
    <w:rPr>
      <w:u w:val="single"/>
    </w:rPr>
  </w:style>
  <w:style w:type="paragraph" w:customStyle="1" w:styleId="TableBodyTextRight">
    <w:name w:val="Table Body Text Right"/>
    <w:basedOn w:val="TableBodyText"/>
    <w:rsid w:val="00754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887"/>
    <w:rPr>
      <w:sz w:val="18"/>
    </w:rPr>
  </w:style>
  <w:style w:type="paragraph" w:customStyle="1" w:styleId="BodySmallRight">
    <w:name w:val="Body Small Right"/>
    <w:basedOn w:val="BodyTextRight"/>
    <w:rsid w:val="00754887"/>
    <w:rPr>
      <w:sz w:val="18"/>
      <w:szCs w:val="18"/>
    </w:rPr>
  </w:style>
  <w:style w:type="paragraph" w:customStyle="1" w:styleId="MarginEdition">
    <w:name w:val="Margin Edition"/>
    <w:basedOn w:val="MarginNote"/>
    <w:rsid w:val="00754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887"/>
    <w:rPr>
      <w:sz w:val="2"/>
      <w:szCs w:val="2"/>
    </w:rPr>
  </w:style>
  <w:style w:type="character" w:customStyle="1" w:styleId="Small">
    <w:name w:val="Small"/>
    <w:basedOn w:val="DefaultParagraphFont"/>
    <w:rsid w:val="00754887"/>
    <w:rPr>
      <w:sz w:val="16"/>
    </w:rPr>
  </w:style>
  <w:style w:type="paragraph" w:customStyle="1" w:styleId="WideTable">
    <w:name w:val="Wide Table"/>
    <w:basedOn w:val="Normal"/>
    <w:rsid w:val="00754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887"/>
  </w:style>
  <w:style w:type="paragraph" w:styleId="Quote">
    <w:name w:val="Quote"/>
    <w:basedOn w:val="Heading1"/>
    <w:link w:val="QuoteChar"/>
    <w:qFormat/>
    <w:rsid w:val="00754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887"/>
    <w:pPr>
      <w:pageBreakBefore/>
    </w:pPr>
  </w:style>
  <w:style w:type="paragraph" w:customStyle="1" w:styleId="Border">
    <w:name w:val="Border"/>
    <w:basedOn w:val="Normal"/>
    <w:qFormat/>
    <w:rsid w:val="00754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887"/>
    <w:rPr>
      <w:u w:val="single"/>
    </w:rPr>
  </w:style>
  <w:style w:type="character" w:customStyle="1" w:styleId="BoldandItalics">
    <w:name w:val="Bold and Italics"/>
    <w:qFormat/>
    <w:rsid w:val="00754887"/>
    <w:rPr>
      <w:b/>
      <w:i/>
      <w:u w:val="none"/>
    </w:rPr>
  </w:style>
  <w:style w:type="paragraph" w:styleId="BalloonText">
    <w:name w:val="Balloon Text"/>
    <w:basedOn w:val="Normal"/>
    <w:link w:val="BalloonTextChar"/>
    <w:rsid w:val="00754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887"/>
    <w:pPr>
      <w:spacing w:before="0" w:after="0"/>
    </w:pPr>
  </w:style>
  <w:style w:type="paragraph" w:customStyle="1" w:styleId="BodyTextBold">
    <w:name w:val="Body Text Bold"/>
    <w:basedOn w:val="BodyText"/>
    <w:qFormat/>
    <w:rsid w:val="00754887"/>
    <w:rPr>
      <w:b/>
    </w:rPr>
  </w:style>
  <w:style w:type="character" w:styleId="Hyperlink">
    <w:name w:val="Hyperlink"/>
    <w:basedOn w:val="DefaultParagraphFont"/>
    <w:uiPriority w:val="99"/>
    <w:unhideWhenUsed/>
    <w:rsid w:val="00F93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2704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MEM48014 Recommend a refractory for an application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