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AB2" w:rsidP="00ED2AB2">
      <w:pPr>
        <w:pStyle w:val="Title"/>
      </w:pPr>
      <w:r>
        <w:fldChar w:fldCharType="begin"/>
      </w:r>
      <w:r>
        <w:instrText xml:space="preserve"> TITLE   \* MERGEFORMAT </w:instrText>
      </w:r>
      <w:r>
        <w:fldChar w:fldCharType="separate"/>
      </w:r>
      <w:r>
        <w:t>MEM48013 Identify and select equipment for mineral and chemical processing plants</w:t>
      </w:r>
      <w:r>
        <w:fldChar w:fldCharType="end"/>
      </w:r>
    </w:p>
    <w:p w:rsidR="00ED2AB2" w:rsidP="00ED2AB2">
      <w:pPr>
        <w:pStyle w:val="Version"/>
        <w:sectPr w:rsidSect="004D20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00E" w:rsidP="004D200E">
      <w:pPr>
        <w:pStyle w:val="SuperHeading"/>
      </w:pPr>
      <w:r w:rsidRPr="004D200E">
        <w:t>MEM48013 Identify and select equipment for mineral and chemical processing plants</w:t>
      </w:r>
    </w:p>
    <w:p w:rsidR="00000000" w:rsidRPr="004D200E" w:rsidP="004D200E">
      <w:pPr>
        <w:pStyle w:val="Heading1"/>
      </w:pPr>
      <w:bookmarkStart w:id="1" w:name="O_949960"/>
      <w:bookmarkEnd w:id="1"/>
      <w:r w:rsidRPr="004D200E">
        <w:t>Modification History</w:t>
      </w:r>
    </w:p>
    <w:p w:rsidR="00ED2AB2" w:rsidP="00ED2AB2">
      <w:pPr>
        <w:pStyle w:val="BodyText"/>
      </w:pPr>
      <w:r w:rsidRPr="004D200E">
        <w:t>Release 1. Supersedes and is equivalent to MSATCM502A Identify and describe equipment for mineral and chemical processing plants.</w:t>
      </w:r>
    </w:p>
    <w:p w:rsidR="00000000" w:rsidRPr="004D200E" w:rsidP="004D200E">
      <w:pPr>
        <w:pStyle w:val="Heading1"/>
      </w:pPr>
      <w:bookmarkStart w:id="2" w:name="O_949968"/>
      <w:bookmarkEnd w:id="2"/>
      <w:r w:rsidRPr="004D200E">
        <w:t>Application</w:t>
      </w:r>
    </w:p>
    <w:p w:rsidR="00000000" w:rsidRPr="004D200E" w:rsidP="00ED2AB2">
      <w:pPr>
        <w:pStyle w:val="BodyText"/>
      </w:pPr>
      <w:r w:rsidRPr="004D200E">
        <w:t>This unit of competency defines the skills and knowledge required to apply scientific principles and techniques to identify and describe processing equipment in mineral and chemical processing plants from a metallurgical perspec</w:t>
      </w:r>
      <w:r w:rsidRPr="004D200E">
        <w:t>tive.</w:t>
      </w:r>
    </w:p>
    <w:p w:rsidR="00000000" w:rsidRPr="004D200E" w:rsidP="00ED2AB2">
      <w:pPr>
        <w:pStyle w:val="BodyText"/>
      </w:pPr>
      <w:r w:rsidRPr="004D200E">
        <w:t>It requires application of scientific principles and techniques as a member of a design and development team or similar in support of specifying basic mineral extraction processes associated with metals production.</w:t>
      </w:r>
    </w:p>
    <w:p w:rsidR="00ED2AB2" w:rsidP="00ED2AB2">
      <w:pPr>
        <w:pStyle w:val="BodyText"/>
      </w:pPr>
      <w:r w:rsidRPr="004D200E">
        <w:t>No licensing, legislative or certif</w:t>
      </w:r>
      <w:r w:rsidRPr="004D200E">
        <w:t>ication requirements apply to this unit at the time of publication.</w:t>
      </w:r>
    </w:p>
    <w:p w:rsidR="00000000" w:rsidRPr="004D200E" w:rsidP="004D200E">
      <w:pPr>
        <w:pStyle w:val="Heading1"/>
      </w:pPr>
      <w:bookmarkStart w:id="3" w:name="O_949967"/>
      <w:bookmarkEnd w:id="3"/>
      <w:r w:rsidRPr="004D200E">
        <w:t>Pre-requisite Unit</w:t>
      </w:r>
    </w:p>
    <w:p w:rsidR="00000000" w:rsidRPr="004D200E" w:rsidP="00ED2AB2">
      <w:pPr>
        <w:pStyle w:val="BodyText"/>
      </w:pPr>
      <w:r w:rsidRPr="004D200E">
        <w:t>MEM48004 Interpret basic binary phase diagrams</w:t>
      </w:r>
    </w:p>
    <w:p w:rsidR="00ED2AB2" w:rsidP="00ED2AB2">
      <w:pPr>
        <w:pStyle w:val="BodyText"/>
      </w:pPr>
      <w:r w:rsidRPr="004D200E">
        <w:t>MEM48011 Apply basic chemical principles to metallurgy</w:t>
      </w:r>
    </w:p>
    <w:p w:rsidR="00000000" w:rsidRPr="004D200E" w:rsidP="004D200E">
      <w:pPr>
        <w:pStyle w:val="Heading1"/>
      </w:pPr>
      <w:bookmarkStart w:id="4" w:name="O_949966"/>
      <w:bookmarkEnd w:id="4"/>
      <w:r w:rsidRPr="004D200E">
        <w:t>Competency Field</w:t>
      </w:r>
    </w:p>
    <w:p w:rsidR="00000000" w:rsidRPr="004D200E" w:rsidP="00ED2AB2">
      <w:pPr>
        <w:pStyle w:val="BodyText"/>
      </w:pPr>
      <w:r w:rsidRPr="004D200E">
        <w:t>Metallurgy</w:t>
      </w:r>
    </w:p>
    <w:p w:rsidR="00000000" w:rsidRPr="004D200E" w:rsidP="004D200E">
      <w:pPr>
        <w:pStyle w:val="Heading1"/>
      </w:pPr>
      <w:bookmarkStart w:id="5" w:name="O_949964"/>
      <w:bookmarkEnd w:id="5"/>
      <w:r w:rsidRPr="004D200E">
        <w:t>Elements and Performance Criteria</w:t>
      </w:r>
    </w:p>
    <w:tbl>
      <w:tblPr>
        <w:tblW w:w="9639" w:type="dxa"/>
        <w:tblLayout w:type="fixed"/>
        <w:tblCellMar>
          <w:left w:w="62" w:type="dxa"/>
          <w:right w:w="62" w:type="dxa"/>
        </w:tblCellMar>
        <w:tblLook w:val="0000"/>
      </w:tblPr>
      <w:tblGrid>
        <w:gridCol w:w="2531"/>
        <w:gridCol w:w="7108"/>
      </w:tblGrid>
      <w:tr w:rsidTr="00ED2AB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200E" w:rsidP="004D200E">
            <w:pPr>
              <w:pStyle w:val="BodyText"/>
            </w:pPr>
            <w:r w:rsidRPr="004D200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200E">
            <w:pPr>
              <w:pStyle w:val="BodyText"/>
              <w:rPr>
                <w:lang w:val="en-NZ"/>
              </w:rPr>
            </w:pPr>
            <w:r w:rsidRPr="004D200E">
              <w:rPr>
                <w:rStyle w:val="SpecialBold"/>
              </w:rPr>
              <w:t>Performance Criteria</w:t>
            </w:r>
          </w:p>
        </w:tc>
      </w:tr>
      <w:tr w:rsidTr="00ED2AB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200E" w:rsidP="004D200E">
            <w:pPr>
              <w:pStyle w:val="BodyText"/>
            </w:pPr>
            <w:r w:rsidRPr="004D200E">
              <w:rPr>
                <w:rStyle w:val="Emphasis"/>
              </w:rPr>
              <w:t xml:space="preserve">Elements describe the </w:t>
            </w:r>
            <w:r w:rsidRPr="004D200E">
              <w:t xml:space="preserve">essential </w:t>
            </w:r>
            <w:r w:rsidRPr="004D200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200E">
            <w:pPr>
              <w:pStyle w:val="BodyText"/>
              <w:rPr>
                <w:lang w:val="en-NZ"/>
              </w:rPr>
            </w:pPr>
            <w:r w:rsidRPr="004D200E">
              <w:rPr>
                <w:rStyle w:val="Emphasis"/>
              </w:rPr>
              <w:t>Performance criteria describe the performance needed to demonstrate achievement of the element.</w:t>
            </w:r>
          </w:p>
        </w:tc>
      </w:tr>
      <w:tr w:rsidTr="00ED2AB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00E">
            <w:pPr>
              <w:pStyle w:val="BodyText"/>
              <w:rPr>
                <w:lang w:val="en-NZ"/>
              </w:rPr>
            </w:pPr>
            <w:r w:rsidRPr="004D200E">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00E" w:rsidP="004D200E">
            <w:pPr>
              <w:pStyle w:val="BodyText"/>
            </w:pPr>
            <w:r w:rsidRPr="004D200E">
              <w:t>1.1 Follow standard operating procedures (SOPs)</w:t>
            </w:r>
          </w:p>
          <w:p w:rsidR="00000000" w:rsidRPr="004D200E" w:rsidP="004D200E">
            <w:pPr>
              <w:pStyle w:val="BodyText"/>
            </w:pPr>
            <w:r w:rsidRPr="004D200E">
              <w:t>1.2 Comply with work health and safety (WHS) requirements at all times</w:t>
            </w:r>
          </w:p>
          <w:p w:rsidR="00000000" w:rsidP="004D200E">
            <w:pPr>
              <w:pStyle w:val="BodyText"/>
              <w:rPr>
                <w:lang w:val="en-NZ"/>
              </w:rPr>
            </w:pPr>
            <w:r w:rsidRPr="004D200E">
              <w:t>1.3 Identify job requirements from work information</w:t>
            </w:r>
          </w:p>
        </w:tc>
      </w:tr>
      <w:tr w:rsidTr="00ED2AB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00E">
            <w:pPr>
              <w:pStyle w:val="BodyText"/>
              <w:rPr>
                <w:lang w:val="en-NZ"/>
              </w:rPr>
            </w:pPr>
            <w:r w:rsidRPr="004D200E">
              <w:t>2. Research and identify scientific principles and techniques relevant to mineral an</w:t>
            </w:r>
            <w:r w:rsidRPr="004D200E">
              <w:t>d chemical processing plants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00E" w:rsidP="004D200E">
            <w:pPr>
              <w:pStyle w:val="BodyText"/>
            </w:pPr>
            <w:r w:rsidRPr="004D200E">
              <w:t>2.1 Research and report information about scientific principles relating to mineral and chemical processing from appropriate sources and from examination of applications</w:t>
            </w:r>
          </w:p>
          <w:p w:rsidR="00000000" w:rsidP="004D200E">
            <w:pPr>
              <w:pStyle w:val="BodyText"/>
              <w:rPr>
                <w:lang w:val="en-NZ"/>
              </w:rPr>
            </w:pPr>
            <w:r w:rsidRPr="004D200E">
              <w:t>2.2 Identify the techniques and associated technologies, software and hardware required to implement scientific principles</w:t>
            </w:r>
          </w:p>
        </w:tc>
      </w:tr>
      <w:tr w:rsidTr="00ED2AB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00E">
            <w:pPr>
              <w:pStyle w:val="BodyText"/>
              <w:rPr>
                <w:lang w:val="en-NZ"/>
              </w:rPr>
            </w:pPr>
            <w:r w:rsidRPr="004D200E">
              <w:t xml:space="preserve">3. Select and apply scientific principles and techniques relevant to </w:t>
            </w:r>
            <w:r w:rsidRPr="004D200E">
              <w:rPr>
                <w:rStyle w:val="Emphasis"/>
              </w:rPr>
              <w:t>equipment in mineral and chemical processing plants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00E" w:rsidP="004D200E">
            <w:pPr>
              <w:pStyle w:val="BodyText"/>
            </w:pPr>
            <w:r w:rsidRPr="004D200E">
              <w:t xml:space="preserve">3.1 Select </w:t>
            </w:r>
            <w:r w:rsidRPr="004D200E">
              <w:t>scientific techniques and principles relevant to mineral and chemical processing situations</w:t>
            </w:r>
          </w:p>
          <w:p w:rsidR="00000000" w:rsidRPr="004D200E" w:rsidP="004D200E">
            <w:pPr>
              <w:pStyle w:val="BodyText"/>
            </w:pPr>
            <w:r w:rsidRPr="004D200E">
              <w:t>3.2 Select relevant techniques and associated technologies including software and hardware for mineral and chemical processing situations</w:t>
            </w:r>
          </w:p>
        </w:tc>
      </w:tr>
    </w:tbl>
    <w:p w:rsidR="00ED2AB2" w:rsidP="004D200E">
      <w:pPr>
        <w:pStyle w:val="BodyText"/>
      </w:pPr>
    </w:p>
    <w:p w:rsidR="00ED2AB2" w:rsidP="004D200E">
      <w:pPr>
        <w:pStyle w:val="BodyText"/>
      </w:pPr>
    </w:p>
    <w:p w:rsidR="00000000" w:rsidRPr="004D200E" w:rsidP="004D200E">
      <w:pPr>
        <w:pStyle w:val="Heading1"/>
      </w:pPr>
      <w:bookmarkStart w:id="6" w:name="O_949963"/>
      <w:bookmarkEnd w:id="6"/>
      <w:r w:rsidRPr="004D200E">
        <w:t>Founda</w:t>
      </w:r>
      <w:r w:rsidRPr="004D200E">
        <w:t>tion Skills</w:t>
      </w:r>
    </w:p>
    <w:p w:rsidR="00000000" w:rsidRPr="004D200E" w:rsidP="00ED2AB2">
      <w:pPr>
        <w:pStyle w:val="BodyText"/>
      </w:pPr>
      <w:r w:rsidRPr="004D200E">
        <w:t>This section describes those language, literacy, numeracy and employment skills that are essential to performance.</w:t>
      </w:r>
    </w:p>
    <w:p w:rsidR="00ED2AB2" w:rsidP="00ED2AB2">
      <w:pPr>
        <w:pStyle w:val="BodyText"/>
      </w:pPr>
      <w:r w:rsidRPr="004D200E">
        <w:t>Foundation skills essential to performance are explicit in the performance criteria of this unit of competency.</w:t>
      </w:r>
    </w:p>
    <w:p w:rsidR="00000000" w:rsidRPr="004D200E" w:rsidP="004D200E">
      <w:pPr>
        <w:pStyle w:val="Heading1"/>
      </w:pPr>
      <w:bookmarkStart w:id="7" w:name="O_949962"/>
      <w:bookmarkEnd w:id="7"/>
      <w:r w:rsidRPr="004D200E">
        <w:t>Range of Conditions</w:t>
      </w:r>
    </w:p>
    <w:tbl>
      <w:tblPr>
        <w:tblW w:w="9638" w:type="dxa"/>
        <w:tblLayout w:type="fixed"/>
        <w:tblCellMar>
          <w:left w:w="62" w:type="dxa"/>
          <w:right w:w="62" w:type="dxa"/>
        </w:tblCellMar>
        <w:tblLook w:val="0000"/>
      </w:tblPr>
      <w:tblGrid>
        <w:gridCol w:w="2758"/>
        <w:gridCol w:w="6880"/>
      </w:tblGrid>
      <w:tr w:rsidTr="004D200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00E">
            <w:pPr>
              <w:pStyle w:val="BodyText"/>
              <w:rPr>
                <w:lang w:val="en-NZ"/>
              </w:rPr>
            </w:pPr>
            <w:r w:rsidRPr="004D200E">
              <w:t>This field allows for different work environments and conditions that may affect performance. Essential operating conditions that may be present (depending on the work situation, needs of the candidate, accessibility of the item, and l</w:t>
            </w:r>
            <w:r w:rsidRPr="004D200E">
              <w:t>ocal industry and regional contexts) are included.</w:t>
            </w:r>
          </w:p>
        </w:tc>
      </w:tr>
      <w:tr w:rsidTr="004D20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00E">
            <w:pPr>
              <w:pStyle w:val="BodyText"/>
              <w:rPr>
                <w:lang w:val="en-NZ"/>
              </w:rPr>
            </w:pPr>
            <w:r w:rsidRPr="004D200E">
              <w:t>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00E" w:rsidP="004D200E">
            <w:pPr>
              <w:pStyle w:val="ListBullet"/>
            </w:pPr>
            <w:r w:rsidRPr="004D200E">
              <w:t>reference texts</w:t>
            </w:r>
          </w:p>
          <w:p w:rsidR="00000000" w:rsidRPr="004D200E" w:rsidP="004D200E">
            <w:pPr>
              <w:pStyle w:val="ListBullet"/>
            </w:pPr>
            <w:r w:rsidRPr="004D200E">
              <w:t>manufacturer</w:t>
            </w:r>
            <w:r>
              <w:t>’</w:t>
            </w:r>
            <w:r w:rsidRPr="004D200E">
              <w:t>s catalogues</w:t>
            </w:r>
          </w:p>
          <w:p w:rsidR="00000000" w:rsidRPr="004D200E" w:rsidP="004D200E">
            <w:pPr>
              <w:pStyle w:val="ListBullet"/>
            </w:pPr>
            <w:r w:rsidRPr="004D200E">
              <w:t>industrial and professional magazines and journals</w:t>
            </w:r>
          </w:p>
          <w:p w:rsidR="00000000" w:rsidRPr="004D200E" w:rsidP="004D200E">
            <w:pPr>
              <w:pStyle w:val="ListBullet"/>
            </w:pPr>
            <w:r w:rsidRPr="004D200E">
              <w:t>colleagues</w:t>
            </w:r>
          </w:p>
          <w:p w:rsidR="00000000" w:rsidRPr="004D200E" w:rsidP="004D200E">
            <w:pPr>
              <w:pStyle w:val="ListBullet"/>
            </w:pPr>
            <w:r w:rsidRPr="004D200E">
              <w:t>websites</w:t>
            </w:r>
          </w:p>
          <w:p w:rsidR="00000000" w:rsidP="004D200E">
            <w:pPr>
              <w:pStyle w:val="ListBullet"/>
              <w:rPr>
                <w:lang w:val="en-NZ"/>
              </w:rPr>
            </w:pPr>
            <w:r w:rsidRPr="004D200E">
              <w:t>i</w:t>
            </w:r>
            <w:r w:rsidRPr="004D200E">
              <w:t>nformation gathered using communications technology.</w:t>
            </w:r>
          </w:p>
        </w:tc>
      </w:tr>
      <w:tr w:rsidTr="004D20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00E">
            <w:pPr>
              <w:pStyle w:val="BodyText"/>
              <w:rPr>
                <w:lang w:val="en-NZ"/>
              </w:rPr>
            </w:pPr>
            <w:r w:rsidRPr="004D200E">
              <w:t xml:space="preserve">Equipment in mineral and chemical processing plants is used for one or more of </w:t>
            </w:r>
            <w:r w:rsidRPr="004D200E">
              <w:t>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00E" w:rsidP="004D200E">
            <w:pPr>
              <w:pStyle w:val="ListBullet"/>
            </w:pPr>
            <w:r w:rsidRPr="004D200E">
              <w:t>transport and storage of materials</w:t>
            </w:r>
          </w:p>
          <w:p w:rsidR="00000000" w:rsidRPr="004D200E" w:rsidP="004D200E">
            <w:pPr>
              <w:pStyle w:val="ListBullet"/>
            </w:pPr>
            <w:r w:rsidRPr="004D200E">
              <w:t>heat transfer</w:t>
            </w:r>
          </w:p>
          <w:p w:rsidR="00000000" w:rsidRPr="004D200E" w:rsidP="004D200E">
            <w:pPr>
              <w:pStyle w:val="ListBullet"/>
            </w:pPr>
            <w:r w:rsidRPr="004D200E">
              <w:t>solids drying</w:t>
            </w:r>
          </w:p>
          <w:p w:rsidR="00000000" w:rsidRPr="004D200E" w:rsidP="004D200E">
            <w:pPr>
              <w:pStyle w:val="ListBullet"/>
            </w:pPr>
            <w:r w:rsidRPr="004D200E">
              <w:t>phase dispersion and separation</w:t>
            </w:r>
          </w:p>
          <w:p w:rsidR="00000000" w:rsidRPr="004D200E" w:rsidP="004D200E">
            <w:pPr>
              <w:pStyle w:val="ListBullet"/>
            </w:pPr>
            <w:r w:rsidRPr="004D200E">
              <w:t>gas solid operations</w:t>
            </w:r>
          </w:p>
          <w:p w:rsidR="00000000" w:rsidRPr="004D200E" w:rsidP="004D200E">
            <w:pPr>
              <w:pStyle w:val="ListBullet"/>
            </w:pPr>
            <w:r w:rsidRPr="004D200E">
              <w:t>liquid operations</w:t>
            </w:r>
          </w:p>
          <w:p w:rsidR="00000000" w:rsidRPr="004D200E" w:rsidP="004D200E">
            <w:pPr>
              <w:pStyle w:val="ListBullet"/>
            </w:pPr>
            <w:r w:rsidRPr="004D200E">
              <w:t>liquid solid operations</w:t>
            </w:r>
          </w:p>
          <w:p w:rsidR="00000000" w:rsidRPr="004D200E" w:rsidP="004D200E">
            <w:pPr>
              <w:pStyle w:val="ListBullet"/>
            </w:pPr>
            <w:r w:rsidRPr="004D200E">
              <w:t>solid operations</w:t>
            </w:r>
          </w:p>
          <w:p w:rsidR="00000000" w:rsidRPr="004D200E" w:rsidP="004D200E">
            <w:pPr>
              <w:pStyle w:val="ListBullet"/>
            </w:pPr>
            <w:r w:rsidRPr="004D200E">
              <w:t>size reduction and size enlargement</w:t>
            </w:r>
          </w:p>
          <w:p w:rsidR="00000000" w:rsidRPr="004D200E" w:rsidP="004D200E">
            <w:pPr>
              <w:pStyle w:val="ListBullet"/>
            </w:pPr>
            <w:r w:rsidRPr="004D200E">
              <w:t>bulk solid handling</w:t>
            </w:r>
          </w:p>
          <w:p w:rsidR="00000000" w:rsidRPr="004D200E" w:rsidP="004D200E">
            <w:pPr>
              <w:pStyle w:val="ListBullet"/>
            </w:pPr>
            <w:r w:rsidRPr="004D200E">
              <w:t>packaging of solids and liquids</w:t>
            </w:r>
          </w:p>
          <w:p w:rsidR="00000000" w:rsidRPr="004D200E" w:rsidP="004D200E">
            <w:pPr>
              <w:pStyle w:val="ListBullet"/>
            </w:pPr>
            <w:r w:rsidRPr="004D200E">
              <w:t>chemical reactors</w:t>
            </w:r>
          </w:p>
          <w:p w:rsidR="00000000" w:rsidRPr="004D200E" w:rsidP="004D200E">
            <w:pPr>
              <w:pStyle w:val="ListBullet"/>
            </w:pPr>
            <w:r w:rsidRPr="004D200E">
              <w:t>waste management</w:t>
            </w:r>
          </w:p>
          <w:p w:rsidR="00000000" w:rsidRPr="004D200E" w:rsidP="004D200E">
            <w:pPr>
              <w:pStyle w:val="ListBullet"/>
            </w:pPr>
            <w:r w:rsidRPr="004D200E">
              <w:t>process safety</w:t>
            </w:r>
          </w:p>
          <w:p w:rsidR="00000000" w:rsidP="004D200E">
            <w:pPr>
              <w:pStyle w:val="ListBullet"/>
              <w:rPr>
                <w:lang w:val="en-NZ"/>
              </w:rPr>
            </w:pPr>
            <w:r w:rsidRPr="004D200E">
              <w:t>energy generation and utilisation.</w:t>
            </w:r>
          </w:p>
        </w:tc>
      </w:tr>
      <w:tr w:rsidTr="004D200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00E">
            <w:pPr>
              <w:pStyle w:val="BodyText"/>
              <w:rPr>
                <w:lang w:val="en-NZ"/>
              </w:rPr>
            </w:pPr>
            <w:r w:rsidRPr="004D200E">
              <w:t>Sc</w:t>
            </w:r>
            <w:r w:rsidRPr="004D200E">
              <w:t>ientific techniques and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00E" w:rsidP="004D200E">
            <w:pPr>
              <w:pStyle w:val="ListBullet"/>
            </w:pPr>
            <w:r w:rsidRPr="004D200E">
              <w:t>principles of mineral processing</w:t>
            </w:r>
          </w:p>
          <w:p w:rsidR="00000000" w:rsidRPr="004D200E" w:rsidP="004D200E">
            <w:pPr>
              <w:pStyle w:val="ListBullet"/>
            </w:pPr>
            <w:r w:rsidRPr="004D200E">
              <w:t>principles of chemical processing</w:t>
            </w:r>
          </w:p>
          <w:p w:rsidR="00000000" w:rsidRPr="004D200E" w:rsidP="004D200E">
            <w:pPr>
              <w:pStyle w:val="ListBullet"/>
            </w:pPr>
            <w:r w:rsidRPr="004D200E">
              <w:t>function of each type of equipment</w:t>
            </w:r>
          </w:p>
          <w:p w:rsidR="00000000" w:rsidRPr="004D200E" w:rsidP="004D200E">
            <w:pPr>
              <w:pStyle w:val="ListBullet"/>
            </w:pPr>
            <w:r w:rsidRPr="004D200E">
              <w:t>flow diagrams</w:t>
            </w:r>
          </w:p>
          <w:p w:rsidR="00000000" w:rsidRPr="004D200E" w:rsidP="004D200E">
            <w:pPr>
              <w:pStyle w:val="ListBullet"/>
            </w:pPr>
            <w:r w:rsidRPr="004D200E">
              <w:t>processes for particle size change</w:t>
            </w:r>
          </w:p>
          <w:p w:rsidR="00000000" w:rsidRPr="004D200E" w:rsidP="004D200E">
            <w:pPr>
              <w:pStyle w:val="ListBullet"/>
            </w:pPr>
            <w:r w:rsidRPr="004D200E">
              <w:t>processes for separation of materials</w:t>
            </w:r>
          </w:p>
          <w:p w:rsidR="00000000" w:rsidRPr="004D200E" w:rsidP="004D200E">
            <w:pPr>
              <w:pStyle w:val="ListBullet"/>
            </w:pPr>
            <w:r w:rsidRPr="004D200E">
              <w:t>processes for mixing of materials</w:t>
            </w:r>
          </w:p>
          <w:p w:rsidR="00000000" w:rsidRPr="004D200E" w:rsidP="004D200E">
            <w:pPr>
              <w:pStyle w:val="ListBullet"/>
            </w:pPr>
            <w:r w:rsidRPr="004D200E">
              <w:t>processes for chemical change.</w:t>
            </w:r>
          </w:p>
        </w:tc>
      </w:tr>
    </w:tbl>
    <w:p w:rsidR="00ED2AB2" w:rsidP="004D200E">
      <w:pPr>
        <w:pStyle w:val="BodyText"/>
      </w:pPr>
    </w:p>
    <w:p w:rsidR="00ED2AB2" w:rsidP="004D200E">
      <w:pPr>
        <w:pStyle w:val="BodyText"/>
      </w:pPr>
    </w:p>
    <w:p w:rsidR="00000000" w:rsidRPr="004D200E" w:rsidP="004D200E">
      <w:pPr>
        <w:pStyle w:val="Heading1"/>
      </w:pPr>
      <w:bookmarkStart w:id="8" w:name="O_949961"/>
      <w:bookmarkEnd w:id="8"/>
      <w:r w:rsidRPr="004D200E">
        <w:t>Unit Mapping Information</w:t>
      </w:r>
    </w:p>
    <w:p w:rsidR="00ED2AB2" w:rsidP="00ED2AB2">
      <w:pPr>
        <w:pStyle w:val="BodyText"/>
      </w:pPr>
      <w:r w:rsidRPr="004D200E">
        <w:t>Release 1. Supersedes and is equivalent to MSATCM502A Identify and describe equipment for mineral and chemical processing plants.</w:t>
      </w:r>
    </w:p>
    <w:p w:rsidR="00000000" w:rsidRPr="004D200E" w:rsidP="004D200E">
      <w:pPr>
        <w:pStyle w:val="Heading1"/>
      </w:pPr>
      <w:bookmarkStart w:id="9" w:name="O_949954"/>
      <w:bookmarkEnd w:id="9"/>
      <w:r w:rsidRPr="004D200E">
        <w:t>Links</w:t>
      </w:r>
    </w:p>
    <w:p w:rsidR="00000000" w:rsidRPr="004D200E" w:rsidP="00ED2AB2">
      <w:pPr>
        <w:pStyle w:val="BodyText"/>
      </w:pPr>
      <w:r w:rsidRPr="004D200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D337D">
        <w:rPr>
          <w:rStyle w:val="Hyperlink"/>
        </w:rPr>
        <w:t>https://vetnet.gov.au/Pages/TrainingDocs.aspx?q=b7050d37-5fd0-4740-8f7d-3b7a49c10bb2</w:t>
      </w:r>
      <w:r>
        <w:fldChar w:fldCharType="end"/>
      </w:r>
    </w:p>
    <w:p w:rsidR="00000000" w:rsidRPr="004D200E" w:rsidP="004D200E"/>
    <w:sectPr w:rsidSect="004D20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00E" w:rsidRPr="00ED2AB2" w:rsidP="00ED2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B2" w:rsidP="004D2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2AB2" w:rsidP="004D20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2AB2" w:rsidP="004D2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00E" w:rsidRPr="00ED2AB2" w:rsidP="00ED2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AB2" w:rsidRPr="002D2AF8" w:rsidP="004D200E">
    <w:pPr>
      <w:pStyle w:val="Header"/>
      <w:framePr w:wrap="around"/>
    </w:pPr>
    <w:r>
      <w:fldChar w:fldCharType="begin"/>
    </w:r>
    <w:r>
      <w:instrText xml:space="preserve"> TITLE   \* MERGEFORMAT </w:instrText>
    </w:r>
    <w:r>
      <w:fldChar w:fldCharType="separate"/>
    </w:r>
    <w:r>
      <w:t>MEM48013 Identify and select equipment for mineral and chemical processing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D2AB2" w:rsidP="004D2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703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800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00E"/>
    <w:pPr>
      <w:spacing w:before="360" w:after="60"/>
      <w:outlineLvl w:val="0"/>
    </w:pPr>
    <w:rPr>
      <w:sz w:val="32"/>
    </w:rPr>
  </w:style>
  <w:style w:type="paragraph" w:styleId="Heading2">
    <w:name w:val="heading 2"/>
    <w:basedOn w:val="HeadingBase"/>
    <w:next w:val="BodyText"/>
    <w:link w:val="Heading2Char"/>
    <w:qFormat/>
    <w:rsid w:val="004D200E"/>
    <w:pPr>
      <w:keepLines/>
      <w:spacing w:before="240" w:after="120"/>
      <w:outlineLvl w:val="1"/>
    </w:pPr>
    <w:rPr>
      <w:sz w:val="28"/>
      <w:szCs w:val="40"/>
    </w:rPr>
  </w:style>
  <w:style w:type="paragraph" w:styleId="Heading3">
    <w:name w:val="heading 3"/>
    <w:basedOn w:val="HeadingBase"/>
    <w:next w:val="BodyText"/>
    <w:link w:val="Heading3Char"/>
    <w:qFormat/>
    <w:rsid w:val="004D200E"/>
    <w:pPr>
      <w:spacing w:before="180" w:after="120"/>
      <w:outlineLvl w:val="2"/>
    </w:pPr>
    <w:rPr>
      <w:spacing w:val="-10"/>
      <w:kern w:val="32"/>
    </w:rPr>
  </w:style>
  <w:style w:type="paragraph" w:styleId="Heading4">
    <w:name w:val="heading 4"/>
    <w:basedOn w:val="HeadingBase"/>
    <w:next w:val="BodyText"/>
    <w:link w:val="Heading4Char"/>
    <w:qFormat/>
    <w:rsid w:val="004D200E"/>
    <w:pPr>
      <w:spacing w:before="160" w:after="120"/>
      <w:outlineLvl w:val="3"/>
    </w:pPr>
    <w:rPr>
      <w:sz w:val="22"/>
    </w:rPr>
  </w:style>
  <w:style w:type="paragraph" w:styleId="Heading5">
    <w:name w:val="heading 5"/>
    <w:basedOn w:val="HeadingBase"/>
    <w:next w:val="Normal"/>
    <w:link w:val="Heading5Char"/>
    <w:qFormat/>
    <w:rsid w:val="004D200E"/>
    <w:pPr>
      <w:spacing w:before="80"/>
      <w:outlineLvl w:val="4"/>
    </w:pPr>
    <w:rPr>
      <w:color w:val="918585"/>
      <w:sz w:val="20"/>
    </w:rPr>
  </w:style>
  <w:style w:type="paragraph" w:styleId="Heading6">
    <w:name w:val="heading 6"/>
    <w:basedOn w:val="HeadingBase"/>
    <w:next w:val="Normal"/>
    <w:link w:val="Heading6Char"/>
    <w:qFormat/>
    <w:rsid w:val="004D200E"/>
    <w:pPr>
      <w:spacing w:before="60"/>
      <w:outlineLvl w:val="5"/>
    </w:pPr>
    <w:rPr>
      <w:color w:val="918585"/>
      <w:sz w:val="20"/>
    </w:rPr>
  </w:style>
  <w:style w:type="paragraph" w:styleId="Heading7">
    <w:name w:val="heading 7"/>
    <w:basedOn w:val="Normal"/>
    <w:next w:val="Normal"/>
    <w:link w:val="Heading7Char"/>
    <w:qFormat/>
    <w:rsid w:val="004D200E"/>
    <w:pPr>
      <w:ind w:left="720"/>
      <w:outlineLvl w:val="6"/>
    </w:pPr>
    <w:rPr>
      <w:i/>
    </w:rPr>
  </w:style>
  <w:style w:type="paragraph" w:styleId="Heading8">
    <w:name w:val="heading 8"/>
    <w:basedOn w:val="Normal"/>
    <w:next w:val="Normal"/>
    <w:link w:val="Heading8Char"/>
    <w:qFormat/>
    <w:rsid w:val="004D200E"/>
    <w:pPr>
      <w:ind w:left="720"/>
      <w:outlineLvl w:val="7"/>
    </w:pPr>
    <w:rPr>
      <w:i/>
    </w:rPr>
  </w:style>
  <w:style w:type="paragraph" w:styleId="Heading9">
    <w:name w:val="heading 9"/>
    <w:basedOn w:val="Normal"/>
    <w:next w:val="Normal"/>
    <w:link w:val="Heading9Char"/>
    <w:qFormat/>
    <w:rsid w:val="004D200E"/>
    <w:pPr>
      <w:ind w:left="720"/>
      <w:outlineLvl w:val="8"/>
    </w:pPr>
    <w:rPr>
      <w:i/>
    </w:rPr>
  </w:style>
  <w:style w:type="character" w:default="1" w:styleId="DefaultParagraphFont">
    <w:name w:val="Default Paragraph Font"/>
    <w:uiPriority w:val="1"/>
    <w:unhideWhenUsed/>
    <w:rsid w:val="004D2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00E"/>
  </w:style>
  <w:style w:type="character" w:customStyle="1" w:styleId="Heading1Char">
    <w:name w:val="Heading 1 Char"/>
    <w:basedOn w:val="DefaultParagraphFont"/>
    <w:link w:val="Heading1"/>
    <w:rsid w:val="004D200E"/>
    <w:rPr>
      <w:rFonts w:ascii="Times New Roman" w:eastAsia="Times New Roman" w:hAnsi="Times New Roman" w:cs="Times New Roman"/>
      <w:b/>
      <w:sz w:val="32"/>
      <w:szCs w:val="20"/>
      <w:lang w:eastAsia="en-US"/>
    </w:rPr>
  </w:style>
  <w:style w:type="paragraph" w:styleId="BodyText">
    <w:name w:val="Body Text"/>
    <w:basedOn w:val="Normal"/>
    <w:link w:val="BodyTextChar"/>
    <w:rsid w:val="004D2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00E"/>
    <w:rPr>
      <w:rFonts w:ascii="Times New Roman" w:eastAsia="Times New Roman" w:hAnsi="Times New Roman" w:cs="Times New Roman"/>
      <w:sz w:val="24"/>
      <w:lang w:eastAsia="en-US"/>
    </w:rPr>
  </w:style>
  <w:style w:type="paragraph" w:styleId="ListBullet">
    <w:name w:val="List Bullet"/>
    <w:basedOn w:val="List"/>
    <w:rsid w:val="004D200E"/>
    <w:pPr>
      <w:numPr>
        <w:numId w:val="11"/>
      </w:numPr>
      <w:tabs>
        <w:tab w:val="clear" w:pos="340"/>
      </w:tabs>
      <w:spacing w:before="40" w:after="40"/>
    </w:pPr>
  </w:style>
  <w:style w:type="character" w:customStyle="1" w:styleId="SpecialBold">
    <w:name w:val="Special Bold"/>
    <w:basedOn w:val="DefaultParagraphFont"/>
    <w:rsid w:val="004D200E"/>
    <w:rPr>
      <w:b/>
      <w:spacing w:val="0"/>
    </w:rPr>
  </w:style>
  <w:style w:type="character" w:styleId="Emphasis">
    <w:name w:val="Emphasis"/>
    <w:basedOn w:val="DefaultParagraphFont"/>
    <w:qFormat/>
    <w:rsid w:val="004D200E"/>
    <w:rPr>
      <w:i/>
    </w:rPr>
  </w:style>
  <w:style w:type="paragraph" w:customStyle="1" w:styleId="SuperHeading">
    <w:name w:val="SuperHeading"/>
    <w:basedOn w:val="Normal"/>
    <w:rsid w:val="004D200E"/>
    <w:pPr>
      <w:spacing w:before="240" w:after="120"/>
      <w:outlineLvl w:val="0"/>
    </w:pPr>
    <w:rPr>
      <w:rFonts w:ascii="Times New Roman" w:hAnsi="Times New Roman"/>
      <w:b/>
      <w:sz w:val="32"/>
    </w:rPr>
  </w:style>
  <w:style w:type="paragraph" w:customStyle="1" w:styleId="AllowPageBreak">
    <w:name w:val="AllowPageBreak"/>
    <w:rsid w:val="004D2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00E"/>
    <w:rPr>
      <w:rFonts w:ascii="Courier New" w:eastAsia="Times New Roman" w:hAnsi="Courier New" w:cs="Times New Roman"/>
      <w:i/>
      <w:szCs w:val="20"/>
      <w:lang w:eastAsia="en-US"/>
    </w:rPr>
  </w:style>
  <w:style w:type="paragraph" w:customStyle="1" w:styleId="HeadingBase">
    <w:name w:val="Heading Base"/>
    <w:rsid w:val="004D2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00E"/>
    <w:pPr>
      <w:tabs>
        <w:tab w:val="right" w:leader="dot" w:pos="9072"/>
      </w:tabs>
      <w:ind w:left="567"/>
    </w:pPr>
    <w:rPr>
      <w:szCs w:val="22"/>
    </w:rPr>
  </w:style>
  <w:style w:type="paragraph" w:customStyle="1" w:styleId="TOCBase">
    <w:name w:val="TOC Base"/>
    <w:rsid w:val="004D2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00E"/>
    <w:pPr>
      <w:tabs>
        <w:tab w:val="right" w:leader="dot" w:pos="9072"/>
      </w:tabs>
      <w:spacing w:before="40" w:after="40"/>
      <w:ind w:left="284"/>
    </w:pPr>
    <w:rPr>
      <w:rFonts w:ascii="Times New Roman" w:hAnsi="Times New Roman"/>
    </w:rPr>
  </w:style>
  <w:style w:type="paragraph" w:styleId="TOC1">
    <w:name w:val="toc 1"/>
    <w:basedOn w:val="TOCBase"/>
    <w:next w:val="Normal"/>
    <w:rsid w:val="004D2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00E"/>
    <w:rPr>
      <w:rFonts w:ascii="Times New Roman" w:eastAsia="Times New Roman" w:hAnsi="Times New Roman" w:cs="Times New Roman"/>
      <w:sz w:val="16"/>
      <w:lang w:eastAsia="en-US"/>
    </w:rPr>
  </w:style>
  <w:style w:type="paragraph" w:styleId="Title">
    <w:name w:val="Title"/>
    <w:basedOn w:val="HeadingBase"/>
    <w:link w:val="TitleChar"/>
    <w:qFormat/>
    <w:rsid w:val="004D200E"/>
    <w:pPr>
      <w:spacing w:before="5040"/>
      <w:jc w:val="center"/>
    </w:pPr>
    <w:rPr>
      <w:sz w:val="48"/>
      <w:szCs w:val="72"/>
      <w:lang w:val="en-US"/>
    </w:rPr>
  </w:style>
  <w:style w:type="character" w:customStyle="1" w:styleId="TitleChar">
    <w:name w:val="Title Char"/>
    <w:basedOn w:val="DefaultParagraphFont"/>
    <w:link w:val="Title"/>
    <w:rsid w:val="004D2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00E"/>
    <w:pPr>
      <w:tabs>
        <w:tab w:val="left" w:pos="3600"/>
        <w:tab w:val="left" w:pos="3958"/>
      </w:tabs>
    </w:pPr>
  </w:style>
  <w:style w:type="paragraph" w:styleId="List">
    <w:name w:val="List"/>
    <w:basedOn w:val="BodyText"/>
    <w:next w:val="BodyText"/>
    <w:rsid w:val="004D200E"/>
    <w:pPr>
      <w:tabs>
        <w:tab w:val="left" w:pos="340"/>
      </w:tabs>
      <w:spacing w:before="60" w:after="60"/>
      <w:ind w:left="340" w:hanging="340"/>
    </w:pPr>
  </w:style>
  <w:style w:type="paragraph" w:customStyle="1" w:styleId="Note">
    <w:name w:val="Note"/>
    <w:basedOn w:val="BodyText"/>
    <w:rsid w:val="004D2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00E"/>
    <w:pPr>
      <w:framePr w:wrap="auto" w:hAnchor="text" w:y="6049"/>
    </w:pPr>
    <w:rPr>
      <w:color w:val="000000"/>
      <w:sz w:val="40"/>
    </w:rPr>
  </w:style>
  <w:style w:type="paragraph" w:customStyle="1" w:styleId="TOCTitle">
    <w:name w:val="TOCTitle"/>
    <w:basedOn w:val="Heading1"/>
    <w:rsid w:val="004D200E"/>
    <w:pPr>
      <w:spacing w:after="240"/>
      <w:jc w:val="center"/>
      <w:outlineLvl w:val="9"/>
    </w:pPr>
    <w:rPr>
      <w:caps/>
    </w:rPr>
  </w:style>
  <w:style w:type="paragraph" w:customStyle="1" w:styleId="Version">
    <w:name w:val="Version"/>
    <w:rsid w:val="004D20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00E"/>
    <w:pPr>
      <w:numPr>
        <w:numId w:val="12"/>
      </w:numPr>
      <w:tabs>
        <w:tab w:val="clear" w:pos="680"/>
      </w:tabs>
    </w:pPr>
  </w:style>
  <w:style w:type="paragraph" w:styleId="Index1">
    <w:name w:val="index 1"/>
    <w:basedOn w:val="Normal"/>
    <w:next w:val="Normal"/>
    <w:semiHidden/>
    <w:rsid w:val="004D200E"/>
    <w:pPr>
      <w:keepNext w:val="0"/>
      <w:tabs>
        <w:tab w:val="right" w:pos="4176"/>
      </w:tabs>
      <w:ind w:left="198" w:hanging="198"/>
    </w:pPr>
    <w:rPr>
      <w:rFonts w:ascii="Garamond" w:hAnsi="Garamond"/>
    </w:rPr>
  </w:style>
  <w:style w:type="paragraph" w:styleId="IndexHeading">
    <w:name w:val="index heading"/>
    <w:basedOn w:val="Normal"/>
    <w:next w:val="Index1"/>
    <w:semiHidden/>
    <w:rsid w:val="004D200E"/>
    <w:pPr>
      <w:spacing w:before="120" w:after="120"/>
    </w:pPr>
    <w:rPr>
      <w:rFonts w:ascii="Arial" w:hAnsi="Arial"/>
      <w:b/>
      <w:color w:val="918585"/>
      <w:sz w:val="24"/>
    </w:rPr>
  </w:style>
  <w:style w:type="paragraph" w:styleId="Header">
    <w:name w:val="header"/>
    <w:basedOn w:val="Normal"/>
    <w:link w:val="HeaderChar"/>
    <w:rsid w:val="004D2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00E"/>
    <w:rPr>
      <w:rFonts w:ascii="Times New Roman" w:eastAsia="Times New Roman" w:hAnsi="Times New Roman" w:cs="Times New Roman"/>
      <w:sz w:val="16"/>
      <w:szCs w:val="20"/>
      <w:lang w:val="en-GB" w:eastAsia="en-US"/>
    </w:rPr>
  </w:style>
  <w:style w:type="paragraph" w:customStyle="1" w:styleId="Chapter">
    <w:name w:val="Chapter"/>
    <w:basedOn w:val="Normal"/>
    <w:rsid w:val="004D200E"/>
    <w:pPr>
      <w:spacing w:before="240"/>
    </w:pPr>
    <w:rPr>
      <w:rFonts w:ascii="Times New Roman" w:hAnsi="Times New Roman"/>
      <w:smallCaps/>
      <w:spacing w:val="80"/>
      <w:sz w:val="28"/>
    </w:rPr>
  </w:style>
  <w:style w:type="paragraph" w:customStyle="1" w:styleId="InChapter">
    <w:name w:val="InChapter"/>
    <w:basedOn w:val="Heading3"/>
    <w:rsid w:val="004D200E"/>
    <w:pPr>
      <w:spacing w:after="240"/>
      <w:outlineLvl w:val="9"/>
    </w:pPr>
    <w:rPr>
      <w:noProof/>
    </w:rPr>
  </w:style>
  <w:style w:type="paragraph" w:styleId="Index2">
    <w:name w:val="index 2"/>
    <w:basedOn w:val="Normal"/>
    <w:next w:val="Normal"/>
    <w:semiHidden/>
    <w:rsid w:val="004D200E"/>
    <w:pPr>
      <w:tabs>
        <w:tab w:val="right" w:pos="4176"/>
      </w:tabs>
      <w:ind w:left="568" w:hanging="284"/>
    </w:pPr>
    <w:rPr>
      <w:rFonts w:ascii="Garamond" w:hAnsi="Garamond"/>
    </w:rPr>
  </w:style>
  <w:style w:type="paragraph" w:customStyle="1" w:styleId="Byline">
    <w:name w:val="Byline"/>
    <w:rsid w:val="004D2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00E"/>
    <w:pPr>
      <w:tabs>
        <w:tab w:val="clear" w:pos="3600"/>
        <w:tab w:val="clear" w:pos="3958"/>
      </w:tabs>
      <w:jc w:val="right"/>
    </w:pPr>
  </w:style>
  <w:style w:type="paragraph" w:styleId="Caption">
    <w:name w:val="caption"/>
    <w:basedOn w:val="BodyText"/>
    <w:next w:val="Normal"/>
    <w:qFormat/>
    <w:rsid w:val="004D200E"/>
    <w:pPr>
      <w:framePr w:w="2268" w:hSpace="181" w:vSpace="181" w:wrap="around" w:vAnchor="text" w:hAnchor="page" w:x="1135" w:y="285" w:anchorLock="1"/>
    </w:pPr>
    <w:rPr>
      <w:i/>
    </w:rPr>
  </w:style>
  <w:style w:type="paragraph" w:customStyle="1" w:styleId="MiniTOCTitle">
    <w:name w:val="MiniTOCTitle"/>
    <w:basedOn w:val="Heading4"/>
    <w:rsid w:val="004D200E"/>
    <w:pPr>
      <w:spacing w:before="240"/>
      <w:outlineLvl w:val="9"/>
    </w:pPr>
    <w:rPr>
      <w:noProof/>
      <w:sz w:val="24"/>
    </w:rPr>
  </w:style>
  <w:style w:type="paragraph" w:customStyle="1" w:styleId="MiniTOCItem">
    <w:name w:val="MiniTOCItem"/>
    <w:basedOn w:val="ListBullet"/>
    <w:rsid w:val="004D200E"/>
    <w:pPr>
      <w:numPr>
        <w:numId w:val="0"/>
      </w:numPr>
      <w:tabs>
        <w:tab w:val="right" w:leader="dot" w:pos="6521"/>
      </w:tabs>
      <w:spacing w:before="0" w:after="0"/>
    </w:pPr>
  </w:style>
  <w:style w:type="paragraph" w:customStyle="1" w:styleId="TOFTitle">
    <w:name w:val="TOFTitle"/>
    <w:basedOn w:val="TOCTitle"/>
    <w:rsid w:val="004D200E"/>
  </w:style>
  <w:style w:type="paragraph" w:styleId="TableofFigures">
    <w:name w:val="table of figures"/>
    <w:basedOn w:val="Normal"/>
    <w:next w:val="Normal"/>
    <w:semiHidden/>
    <w:rsid w:val="004D200E"/>
    <w:pPr>
      <w:tabs>
        <w:tab w:val="right" w:leader="dot" w:pos="9072"/>
      </w:tabs>
      <w:ind w:left="970" w:hanging="403"/>
    </w:pPr>
    <w:rPr>
      <w:rFonts w:ascii="Times New Roman" w:hAnsi="Times New Roman"/>
      <w:b/>
    </w:rPr>
  </w:style>
  <w:style w:type="paragraph" w:styleId="ListNumber">
    <w:name w:val="List Number"/>
    <w:basedOn w:val="List"/>
    <w:rsid w:val="004D200E"/>
    <w:pPr>
      <w:numPr>
        <w:numId w:val="14"/>
      </w:numPr>
      <w:tabs>
        <w:tab w:val="clear" w:pos="340"/>
      </w:tabs>
    </w:pPr>
  </w:style>
  <w:style w:type="character" w:customStyle="1" w:styleId="WingdingSymbols">
    <w:name w:val="Wingding Symbols"/>
    <w:rsid w:val="004D200E"/>
    <w:rPr>
      <w:rFonts w:ascii="Wingdings" w:hAnsi="Wingdings"/>
    </w:rPr>
  </w:style>
  <w:style w:type="paragraph" w:customStyle="1" w:styleId="TableHeading">
    <w:name w:val="Table Heading"/>
    <w:basedOn w:val="HeadingBase"/>
    <w:rsid w:val="004D200E"/>
    <w:pPr>
      <w:keepLines/>
      <w:pBdr>
        <w:bottom w:val="single" w:sz="6" w:space="1" w:color="918585"/>
      </w:pBdr>
      <w:spacing w:before="240"/>
    </w:pPr>
  </w:style>
  <w:style w:type="character" w:customStyle="1" w:styleId="HotSpot">
    <w:name w:val="HotSpot"/>
    <w:rsid w:val="004D200E"/>
    <w:rPr>
      <w:color w:val="0033CC"/>
      <w:u w:val="none"/>
    </w:rPr>
  </w:style>
  <w:style w:type="paragraph" w:customStyle="1" w:styleId="BodyTextRight">
    <w:name w:val="Body Text Right"/>
    <w:basedOn w:val="BodyText"/>
    <w:rsid w:val="004D200E"/>
    <w:pPr>
      <w:spacing w:before="0" w:after="0"/>
      <w:jc w:val="right"/>
    </w:pPr>
  </w:style>
  <w:style w:type="paragraph" w:styleId="Index3">
    <w:name w:val="index 3"/>
    <w:basedOn w:val="ListNumber2"/>
    <w:next w:val="Normal"/>
    <w:semiHidden/>
    <w:rsid w:val="004D200E"/>
    <w:pPr>
      <w:numPr>
        <w:numId w:val="0"/>
      </w:numPr>
      <w:tabs>
        <w:tab w:val="right" w:leader="dot" w:pos="4176"/>
      </w:tabs>
    </w:pPr>
  </w:style>
  <w:style w:type="paragraph" w:styleId="ListNumber2">
    <w:name w:val="List Number 2"/>
    <w:basedOn w:val="List2"/>
    <w:rsid w:val="004D200E"/>
    <w:pPr>
      <w:numPr>
        <w:numId w:val="9"/>
      </w:numPr>
      <w:tabs>
        <w:tab w:val="clear" w:pos="1060"/>
      </w:tabs>
    </w:pPr>
  </w:style>
  <w:style w:type="paragraph" w:customStyle="1" w:styleId="MarginNote">
    <w:name w:val="Margin Note"/>
    <w:basedOn w:val="BodyText"/>
    <w:rsid w:val="004D2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00E"/>
    <w:rPr>
      <w:sz w:val="32"/>
    </w:rPr>
  </w:style>
  <w:style w:type="paragraph" w:customStyle="1" w:styleId="HeadingProcedure">
    <w:name w:val="Heading Procedure"/>
    <w:basedOn w:val="HeadingBase"/>
    <w:next w:val="Normal"/>
    <w:rsid w:val="004D200E"/>
    <w:pPr>
      <w:tabs>
        <w:tab w:val="left" w:pos="0"/>
      </w:tabs>
      <w:spacing w:before="120" w:after="60"/>
    </w:pPr>
    <w:rPr>
      <w:i/>
      <w:color w:val="918585"/>
      <w:sz w:val="22"/>
    </w:rPr>
  </w:style>
  <w:style w:type="paragraph" w:customStyle="1" w:styleId="TableBodyText">
    <w:name w:val="Table Body Text"/>
    <w:basedOn w:val="BodyText"/>
    <w:rsid w:val="004D200E"/>
    <w:pPr>
      <w:spacing w:before="60" w:after="60"/>
    </w:pPr>
  </w:style>
  <w:style w:type="paragraph" w:styleId="ListContinue">
    <w:name w:val="List Continue"/>
    <w:basedOn w:val="List"/>
    <w:rsid w:val="004D200E"/>
    <w:pPr>
      <w:ind w:firstLine="0"/>
    </w:pPr>
  </w:style>
  <w:style w:type="paragraph" w:customStyle="1" w:styleId="ListNote">
    <w:name w:val="List Note"/>
    <w:basedOn w:val="List"/>
    <w:rsid w:val="004D200E"/>
    <w:pPr>
      <w:pBdr>
        <w:top w:val="single" w:sz="6" w:space="2" w:color="918585"/>
        <w:bottom w:val="single" w:sz="6" w:space="2" w:color="918585"/>
      </w:pBdr>
      <w:tabs>
        <w:tab w:val="left" w:pos="1021"/>
      </w:tabs>
      <w:ind w:firstLine="0"/>
    </w:pPr>
  </w:style>
  <w:style w:type="paragraph" w:customStyle="1" w:styleId="Warning">
    <w:name w:val="Warning"/>
    <w:basedOn w:val="BodyText"/>
    <w:rsid w:val="004D200E"/>
    <w:pPr>
      <w:shd w:val="clear" w:color="auto" w:fill="D9D9D9"/>
      <w:tabs>
        <w:tab w:val="left" w:pos="992"/>
      </w:tabs>
      <w:ind w:left="119" w:right="119"/>
    </w:pPr>
    <w:rPr>
      <w:sz w:val="20"/>
    </w:rPr>
  </w:style>
  <w:style w:type="paragraph" w:customStyle="1" w:styleId="MarginIcons">
    <w:name w:val="Margin Icons"/>
    <w:basedOn w:val="BodyText"/>
    <w:rsid w:val="004D2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00E"/>
    <w:rPr>
      <w:rFonts w:ascii="Courier New" w:hAnsi="Courier New"/>
    </w:rPr>
  </w:style>
  <w:style w:type="paragraph" w:customStyle="1" w:styleId="NoteBullet">
    <w:name w:val="Note Bullet"/>
    <w:basedOn w:val="Note"/>
    <w:rsid w:val="004D200E"/>
    <w:pPr>
      <w:tabs>
        <w:tab w:val="clear" w:pos="680"/>
      </w:tabs>
      <w:spacing w:before="60" w:after="60"/>
    </w:pPr>
  </w:style>
  <w:style w:type="paragraph" w:customStyle="1" w:styleId="SubHeading2">
    <w:name w:val="SubHeading2"/>
    <w:basedOn w:val="HeadingBase"/>
    <w:rsid w:val="004D200E"/>
    <w:pPr>
      <w:spacing w:before="240" w:after="60"/>
    </w:pPr>
    <w:rPr>
      <w:sz w:val="20"/>
    </w:rPr>
  </w:style>
  <w:style w:type="paragraph" w:customStyle="1" w:styleId="SubHeading1">
    <w:name w:val="SubHeading1"/>
    <w:basedOn w:val="HeadingBase"/>
    <w:rsid w:val="004D200E"/>
    <w:pPr>
      <w:spacing w:before="240" w:after="60"/>
    </w:pPr>
    <w:rPr>
      <w:color w:val="918585"/>
      <w:sz w:val="22"/>
    </w:rPr>
  </w:style>
  <w:style w:type="paragraph" w:customStyle="1" w:styleId="SideHeading">
    <w:name w:val="Side Heading"/>
    <w:basedOn w:val="HeadingBase"/>
    <w:rsid w:val="004D2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00E"/>
    <w:pPr>
      <w:numPr>
        <w:numId w:val="10"/>
      </w:numPr>
    </w:pPr>
  </w:style>
  <w:style w:type="paragraph" w:styleId="PlainText">
    <w:name w:val="Plain Text"/>
    <w:basedOn w:val="Normal"/>
    <w:link w:val="PlainTextChar"/>
    <w:rsid w:val="004D200E"/>
    <w:rPr>
      <w:sz w:val="20"/>
    </w:rPr>
  </w:style>
  <w:style w:type="character" w:customStyle="1" w:styleId="PlainTextChar">
    <w:name w:val="Plain Text Char"/>
    <w:basedOn w:val="DefaultParagraphFont"/>
    <w:link w:val="PlainText"/>
    <w:rsid w:val="004D200E"/>
    <w:rPr>
      <w:rFonts w:ascii="Courier New" w:eastAsia="Times New Roman" w:hAnsi="Courier New" w:cs="Times New Roman"/>
      <w:sz w:val="20"/>
      <w:szCs w:val="20"/>
      <w:lang w:eastAsia="en-US"/>
    </w:rPr>
  </w:style>
  <w:style w:type="character" w:customStyle="1" w:styleId="MenuOption">
    <w:name w:val="Menu Option"/>
    <w:basedOn w:val="DefaultParagraphFont"/>
    <w:rsid w:val="004D200E"/>
    <w:rPr>
      <w:b/>
      <w:smallCaps/>
    </w:rPr>
  </w:style>
  <w:style w:type="paragraph" w:customStyle="1" w:styleId="TableListNumber">
    <w:name w:val="Table List Number"/>
    <w:basedOn w:val="ListNumber"/>
    <w:rsid w:val="004D200E"/>
    <w:pPr>
      <w:numPr>
        <w:numId w:val="0"/>
      </w:numPr>
    </w:pPr>
  </w:style>
  <w:style w:type="paragraph" w:styleId="TOC4">
    <w:name w:val="toc 4"/>
    <w:basedOn w:val="TOCBase"/>
    <w:next w:val="Normal"/>
    <w:semiHidden/>
    <w:rsid w:val="004D200E"/>
    <w:pPr>
      <w:tabs>
        <w:tab w:val="right" w:leader="dot" w:pos="9071"/>
      </w:tabs>
      <w:ind w:left="1701"/>
    </w:pPr>
  </w:style>
  <w:style w:type="paragraph" w:customStyle="1" w:styleId="ListAlpha">
    <w:name w:val="List Alpha"/>
    <w:basedOn w:val="List"/>
    <w:rsid w:val="004D200E"/>
    <w:pPr>
      <w:numPr>
        <w:numId w:val="8"/>
      </w:numPr>
    </w:pPr>
  </w:style>
  <w:style w:type="paragraph" w:customStyle="1" w:styleId="ListAlpha2">
    <w:name w:val="List Alpha 2"/>
    <w:basedOn w:val="List2"/>
    <w:rsid w:val="004D200E"/>
    <w:pPr>
      <w:numPr>
        <w:numId w:val="7"/>
      </w:numPr>
    </w:pPr>
  </w:style>
  <w:style w:type="paragraph" w:styleId="List2">
    <w:name w:val="List 2"/>
    <w:basedOn w:val="BodyText"/>
    <w:rsid w:val="004D200E"/>
    <w:pPr>
      <w:tabs>
        <w:tab w:val="left" w:pos="680"/>
      </w:tabs>
      <w:spacing w:before="60" w:after="60"/>
      <w:ind w:left="680" w:hanging="340"/>
    </w:pPr>
  </w:style>
  <w:style w:type="paragraph" w:styleId="List3">
    <w:name w:val="List 3"/>
    <w:basedOn w:val="BodyText"/>
    <w:rsid w:val="004D200E"/>
    <w:pPr>
      <w:tabs>
        <w:tab w:val="left" w:pos="1021"/>
      </w:tabs>
      <w:spacing w:before="60" w:after="60"/>
      <w:ind w:left="1020" w:hanging="340"/>
    </w:pPr>
  </w:style>
  <w:style w:type="paragraph" w:styleId="List4">
    <w:name w:val="List 4"/>
    <w:basedOn w:val="BodyText"/>
    <w:rsid w:val="004D200E"/>
    <w:pPr>
      <w:tabs>
        <w:tab w:val="left" w:pos="1361"/>
      </w:tabs>
      <w:spacing w:before="60" w:after="60"/>
      <w:ind w:left="1361" w:hanging="340"/>
    </w:pPr>
  </w:style>
  <w:style w:type="paragraph" w:styleId="List5">
    <w:name w:val="List 5"/>
    <w:basedOn w:val="BodyText"/>
    <w:rsid w:val="004D200E"/>
    <w:pPr>
      <w:tabs>
        <w:tab w:val="left" w:pos="1701"/>
      </w:tabs>
      <w:spacing w:before="60" w:after="60"/>
      <w:ind w:left="1701" w:hanging="340"/>
    </w:pPr>
  </w:style>
  <w:style w:type="paragraph" w:styleId="ListBullet3">
    <w:name w:val="List Bullet 3"/>
    <w:basedOn w:val="List3"/>
    <w:rsid w:val="004D200E"/>
    <w:pPr>
      <w:numPr>
        <w:numId w:val="13"/>
      </w:numPr>
      <w:tabs>
        <w:tab w:val="clear" w:pos="1021"/>
      </w:tabs>
      <w:ind w:left="1037" w:hanging="357"/>
    </w:pPr>
  </w:style>
  <w:style w:type="paragraph" w:styleId="ListBullet4">
    <w:name w:val="List Bullet 4"/>
    <w:basedOn w:val="List4"/>
    <w:rsid w:val="004D200E"/>
    <w:pPr>
      <w:numPr>
        <w:numId w:val="2"/>
      </w:numPr>
      <w:tabs>
        <w:tab w:val="clear" w:pos="1361"/>
      </w:tabs>
    </w:pPr>
  </w:style>
  <w:style w:type="paragraph" w:styleId="ListBullet5">
    <w:name w:val="List Bullet 5"/>
    <w:basedOn w:val="List5"/>
    <w:rsid w:val="004D200E"/>
    <w:pPr>
      <w:numPr>
        <w:numId w:val="3"/>
      </w:numPr>
    </w:pPr>
  </w:style>
  <w:style w:type="paragraph" w:styleId="ListContinue2">
    <w:name w:val="List Continue 2"/>
    <w:basedOn w:val="List2"/>
    <w:rsid w:val="004D200E"/>
    <w:pPr>
      <w:ind w:firstLine="0"/>
    </w:pPr>
  </w:style>
  <w:style w:type="paragraph" w:styleId="ListContinue3">
    <w:name w:val="List Continue 3"/>
    <w:basedOn w:val="List3"/>
    <w:rsid w:val="004D200E"/>
    <w:pPr>
      <w:ind w:left="1021" w:firstLine="0"/>
    </w:pPr>
  </w:style>
  <w:style w:type="paragraph" w:styleId="ListContinue4">
    <w:name w:val="List Continue 4"/>
    <w:basedOn w:val="List4"/>
    <w:rsid w:val="004D200E"/>
    <w:pPr>
      <w:ind w:firstLine="0"/>
    </w:pPr>
  </w:style>
  <w:style w:type="paragraph" w:styleId="ListContinue5">
    <w:name w:val="List Continue 5"/>
    <w:basedOn w:val="List5"/>
    <w:rsid w:val="004D200E"/>
    <w:pPr>
      <w:ind w:firstLine="0"/>
    </w:pPr>
  </w:style>
  <w:style w:type="paragraph" w:styleId="ListNumber3">
    <w:name w:val="List Number 3"/>
    <w:basedOn w:val="List3"/>
    <w:rsid w:val="004D200E"/>
    <w:pPr>
      <w:numPr>
        <w:numId w:val="4"/>
      </w:numPr>
    </w:pPr>
  </w:style>
  <w:style w:type="paragraph" w:styleId="ListNumber4">
    <w:name w:val="List Number 4"/>
    <w:basedOn w:val="List4"/>
    <w:rsid w:val="004D200E"/>
    <w:pPr>
      <w:numPr>
        <w:numId w:val="5"/>
      </w:numPr>
    </w:pPr>
  </w:style>
  <w:style w:type="paragraph" w:styleId="ListNumber5">
    <w:name w:val="List Number 5"/>
    <w:basedOn w:val="List5"/>
    <w:rsid w:val="004D200E"/>
    <w:pPr>
      <w:numPr>
        <w:numId w:val="6"/>
      </w:numPr>
    </w:pPr>
  </w:style>
  <w:style w:type="paragraph" w:styleId="BlockText">
    <w:name w:val="Block Text"/>
    <w:basedOn w:val="Normal"/>
    <w:rsid w:val="004D200E"/>
    <w:pPr>
      <w:spacing w:after="120"/>
      <w:ind w:left="1440" w:right="1440"/>
    </w:pPr>
  </w:style>
  <w:style w:type="character" w:customStyle="1" w:styleId="Subscript">
    <w:name w:val="Subscript"/>
    <w:basedOn w:val="DefaultParagraphFont"/>
    <w:rsid w:val="004D200E"/>
    <w:rPr>
      <w:sz w:val="16"/>
      <w:vertAlign w:val="subscript"/>
    </w:rPr>
  </w:style>
  <w:style w:type="character" w:customStyle="1" w:styleId="Superscript">
    <w:name w:val="Superscript"/>
    <w:basedOn w:val="DefaultParagraphFont"/>
    <w:rsid w:val="004D200E"/>
    <w:rPr>
      <w:sz w:val="16"/>
      <w:vertAlign w:val="superscript"/>
    </w:rPr>
  </w:style>
  <w:style w:type="character" w:customStyle="1" w:styleId="Symbols">
    <w:name w:val="Symbols"/>
    <w:basedOn w:val="DefaultParagraphFont"/>
    <w:rsid w:val="004D200E"/>
    <w:rPr>
      <w:rFonts w:ascii="Symbol" w:hAnsi="Symbol"/>
    </w:rPr>
  </w:style>
  <w:style w:type="character" w:customStyle="1" w:styleId="MenuOptions">
    <w:name w:val="Menu Options"/>
    <w:basedOn w:val="DefaultParagraphFont"/>
    <w:rsid w:val="004D200E"/>
    <w:rPr>
      <w:rFonts w:ascii="Arial Narrow" w:hAnsi="Arial Narrow"/>
      <w:smallCaps/>
    </w:rPr>
  </w:style>
  <w:style w:type="character" w:customStyle="1" w:styleId="Buttons">
    <w:name w:val="Buttons"/>
    <w:basedOn w:val="DefaultParagraphFont"/>
    <w:rsid w:val="004D200E"/>
    <w:rPr>
      <w:b/>
    </w:rPr>
  </w:style>
  <w:style w:type="character" w:customStyle="1" w:styleId="Underlined">
    <w:name w:val="Underlined"/>
    <w:basedOn w:val="DefaultParagraphFont"/>
    <w:rsid w:val="004D200E"/>
    <w:rPr>
      <w:u w:val="single"/>
    </w:rPr>
  </w:style>
  <w:style w:type="paragraph" w:customStyle="1" w:styleId="TableBodyTextRight">
    <w:name w:val="Table Body Text Right"/>
    <w:basedOn w:val="TableBodyText"/>
    <w:rsid w:val="004D200E"/>
    <w:pPr>
      <w:widowControl w:val="0"/>
      <w:autoSpaceDE w:val="0"/>
      <w:autoSpaceDN w:val="0"/>
      <w:adjustRightInd w:val="0"/>
      <w:jc w:val="right"/>
    </w:pPr>
    <w:rPr>
      <w:rFonts w:cs="Arial"/>
      <w:szCs w:val="18"/>
    </w:rPr>
  </w:style>
  <w:style w:type="paragraph" w:customStyle="1" w:styleId="CopyrightText">
    <w:name w:val="Copyright Text"/>
    <w:basedOn w:val="BodyText"/>
    <w:rsid w:val="004D200E"/>
    <w:rPr>
      <w:sz w:val="18"/>
    </w:rPr>
  </w:style>
  <w:style w:type="paragraph" w:customStyle="1" w:styleId="BodySmallRight">
    <w:name w:val="Body Small Right"/>
    <w:basedOn w:val="BodyTextRight"/>
    <w:rsid w:val="004D200E"/>
    <w:rPr>
      <w:sz w:val="18"/>
      <w:szCs w:val="18"/>
    </w:rPr>
  </w:style>
  <w:style w:type="paragraph" w:customStyle="1" w:styleId="MarginEdition">
    <w:name w:val="Margin Edition"/>
    <w:basedOn w:val="MarginNote"/>
    <w:rsid w:val="004D200E"/>
    <w:pPr>
      <w:spacing w:before="0" w:after="0"/>
    </w:pPr>
    <w:rPr>
      <w:rFonts w:ascii="Times New Roman" w:hAnsi="Times New Roman"/>
      <w:color w:val="999999"/>
    </w:rPr>
  </w:style>
  <w:style w:type="paragraph" w:customStyle="1" w:styleId="Spacer">
    <w:name w:val="Spacer"/>
    <w:basedOn w:val="Normal"/>
    <w:rsid w:val="004D200E"/>
    <w:rPr>
      <w:sz w:val="2"/>
      <w:szCs w:val="2"/>
    </w:rPr>
  </w:style>
  <w:style w:type="character" w:customStyle="1" w:styleId="Small">
    <w:name w:val="Small"/>
    <w:basedOn w:val="DefaultParagraphFont"/>
    <w:rsid w:val="004D200E"/>
    <w:rPr>
      <w:sz w:val="16"/>
    </w:rPr>
  </w:style>
  <w:style w:type="paragraph" w:customStyle="1" w:styleId="WideTable">
    <w:name w:val="Wide Table"/>
    <w:basedOn w:val="Normal"/>
    <w:rsid w:val="004D200E"/>
    <w:pPr>
      <w:ind w:left="-1418"/>
    </w:pPr>
    <w:rPr>
      <w:sz w:val="2"/>
      <w:szCs w:val="2"/>
    </w:rPr>
  </w:style>
  <w:style w:type="character" w:styleId="PageNumber">
    <w:name w:val="page number"/>
    <w:basedOn w:val="DefaultParagraphFont"/>
    <w:rsid w:val="004D200E"/>
  </w:style>
  <w:style w:type="paragraph" w:styleId="Quote">
    <w:name w:val="Quote"/>
    <w:basedOn w:val="Heading1"/>
    <w:link w:val="QuoteChar"/>
    <w:qFormat/>
    <w:rsid w:val="004D200E"/>
    <w:rPr>
      <w:b w:val="0"/>
      <w:sz w:val="72"/>
      <w:szCs w:val="72"/>
      <w:lang w:val="en-NZ"/>
    </w:rPr>
  </w:style>
  <w:style w:type="character" w:customStyle="1" w:styleId="QuoteChar">
    <w:name w:val="Quote Char"/>
    <w:basedOn w:val="DefaultParagraphFont"/>
    <w:link w:val="Quote"/>
    <w:rsid w:val="004D2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00E"/>
    <w:pPr>
      <w:pageBreakBefore/>
    </w:pPr>
  </w:style>
  <w:style w:type="paragraph" w:customStyle="1" w:styleId="Border">
    <w:name w:val="Border"/>
    <w:basedOn w:val="Normal"/>
    <w:qFormat/>
    <w:rsid w:val="004D2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00E"/>
    <w:rPr>
      <w:b/>
      <w:bCs/>
      <w:i/>
      <w:iCs/>
      <w:color w:val="auto"/>
    </w:rPr>
  </w:style>
  <w:style w:type="paragraph" w:styleId="IntenseQuote">
    <w:name w:val="Intense Quote"/>
    <w:basedOn w:val="Normal"/>
    <w:next w:val="Normal"/>
    <w:link w:val="IntenseQuoteChar"/>
    <w:uiPriority w:val="30"/>
    <w:qFormat/>
    <w:rsid w:val="004D2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00E"/>
    <w:rPr>
      <w:smallCaps/>
      <w:color w:val="auto"/>
      <w:u w:val="single"/>
    </w:rPr>
  </w:style>
  <w:style w:type="character" w:styleId="IntenseReference">
    <w:name w:val="Intense Reference"/>
    <w:basedOn w:val="DefaultParagraphFont"/>
    <w:uiPriority w:val="32"/>
    <w:qFormat/>
    <w:rsid w:val="004D200E"/>
    <w:rPr>
      <w:b/>
      <w:bCs/>
      <w:smallCaps/>
      <w:color w:val="auto"/>
      <w:spacing w:val="5"/>
      <w:u w:val="single"/>
    </w:rPr>
  </w:style>
  <w:style w:type="paragraph" w:customStyle="1" w:styleId="2ColumnHeading">
    <w:name w:val="2Column Heading"/>
    <w:basedOn w:val="BodyText"/>
    <w:qFormat/>
    <w:rsid w:val="004D200E"/>
    <w:pPr>
      <w:spacing w:after="60"/>
      <w:ind w:left="-2268"/>
    </w:pPr>
    <w:rPr>
      <w:b/>
    </w:rPr>
  </w:style>
  <w:style w:type="paragraph" w:customStyle="1" w:styleId="Heading1TOC">
    <w:name w:val="Heading1 TOC"/>
    <w:basedOn w:val="Normal"/>
    <w:qFormat/>
    <w:rsid w:val="004D200E"/>
    <w:pPr>
      <w:spacing w:before="240" w:after="120"/>
    </w:pPr>
    <w:rPr>
      <w:rFonts w:ascii="Times New Roman" w:hAnsi="Times New Roman"/>
      <w:b/>
      <w:sz w:val="32"/>
    </w:rPr>
  </w:style>
  <w:style w:type="paragraph" w:customStyle="1" w:styleId="Heading2TOC">
    <w:name w:val="Heading2 TOC"/>
    <w:basedOn w:val="Normal"/>
    <w:qFormat/>
    <w:rsid w:val="004D200E"/>
    <w:pPr>
      <w:spacing w:before="240" w:after="60"/>
    </w:pPr>
    <w:rPr>
      <w:rFonts w:ascii="Times New Roman" w:hAnsi="Times New Roman"/>
      <w:b/>
      <w:sz w:val="28"/>
    </w:rPr>
  </w:style>
  <w:style w:type="character" w:customStyle="1" w:styleId="Underline">
    <w:name w:val="Underline"/>
    <w:basedOn w:val="DefaultParagraphFont"/>
    <w:qFormat/>
    <w:rsid w:val="004D200E"/>
    <w:rPr>
      <w:u w:val="single"/>
    </w:rPr>
  </w:style>
  <w:style w:type="character" w:customStyle="1" w:styleId="BoldandItalics">
    <w:name w:val="Bold and Italics"/>
    <w:qFormat/>
    <w:rsid w:val="004D200E"/>
    <w:rPr>
      <w:b/>
      <w:i/>
      <w:u w:val="none"/>
    </w:rPr>
  </w:style>
  <w:style w:type="paragraph" w:styleId="BalloonText">
    <w:name w:val="Balloon Text"/>
    <w:basedOn w:val="Normal"/>
    <w:link w:val="BalloonTextChar"/>
    <w:rsid w:val="004D200E"/>
    <w:rPr>
      <w:rFonts w:ascii="Tahoma" w:hAnsi="Tahoma" w:cs="Tahoma"/>
      <w:sz w:val="16"/>
      <w:szCs w:val="16"/>
    </w:rPr>
  </w:style>
  <w:style w:type="character" w:customStyle="1" w:styleId="BalloonTextChar">
    <w:name w:val="Balloon Text Char"/>
    <w:basedOn w:val="DefaultParagraphFont"/>
    <w:link w:val="BalloonText"/>
    <w:rsid w:val="004D2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00E"/>
    <w:rPr>
      <w:b/>
      <w:color w:val="660033"/>
      <w:spacing w:val="0"/>
    </w:rPr>
  </w:style>
  <w:style w:type="paragraph" w:customStyle="1" w:styleId="Nameditemlist">
    <w:name w:val="Named item list"/>
    <w:basedOn w:val="BodyText"/>
    <w:qFormat/>
    <w:rsid w:val="004D200E"/>
    <w:pPr>
      <w:tabs>
        <w:tab w:val="left" w:pos="2835"/>
      </w:tabs>
      <w:ind w:left="2835" w:hanging="2835"/>
    </w:pPr>
  </w:style>
  <w:style w:type="paragraph" w:customStyle="1" w:styleId="BodyTextnopadding">
    <w:name w:val="Body Text no padding"/>
    <w:basedOn w:val="BodyText"/>
    <w:qFormat/>
    <w:rsid w:val="004D200E"/>
    <w:pPr>
      <w:spacing w:before="0" w:after="0"/>
    </w:pPr>
  </w:style>
  <w:style w:type="paragraph" w:customStyle="1" w:styleId="BodyTextBold">
    <w:name w:val="Body Text Bold"/>
    <w:basedOn w:val="BodyText"/>
    <w:qFormat/>
    <w:rsid w:val="004D200E"/>
    <w:rPr>
      <w:b/>
    </w:rPr>
  </w:style>
  <w:style w:type="character" w:styleId="Hyperlink">
    <w:name w:val="Hyperlink"/>
    <w:basedOn w:val="DefaultParagraphFont"/>
    <w:uiPriority w:val="99"/>
    <w:unhideWhenUsed/>
    <w:rsid w:val="00ED2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3671</Characters>
  <Application>Microsoft Office Word</Application>
  <DocSecurity>0</DocSecurity>
  <Lines>126</Lines>
  <Paragraphs>82</Paragraphs>
  <ScaleCrop>false</ScaleCrop>
  <Company>Author-it Software Corporation Ltd.</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MEM48013 Identify and select equipment for mineral and chemical processing plants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2023-02-03T06:42:00Z</dcterms:created>
  <dcterms:modified xsi:type="dcterms:W3CDTF">2023-02-03T06:42:00Z</dcterms:modified>
</cp:coreProperties>
</file>