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8A4" w:rsidP="00160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MEM48008 Evaluate mould design and gating</w:t>
      </w:r>
      <w:r>
        <w:fldChar w:fldCharType="end"/>
      </w:r>
    </w:p>
    <w:p w:rsidR="001608A4" w:rsidP="001608A4">
      <w:pPr>
        <w:pStyle w:val="Version"/>
        <w:sectPr w:rsidSect="00C71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10A" w:rsidP="00C7110A">
      <w:pPr>
        <w:pStyle w:val="SuperHeading"/>
      </w:pPr>
      <w:r w:rsidRPr="00C7110A">
        <w:t>MEM48008 Evaluate mould design and gating</w:t>
      </w:r>
    </w:p>
    <w:p w:rsidR="00000000" w:rsidRPr="00C7110A" w:rsidP="00C7110A">
      <w:pPr>
        <w:pStyle w:val="Heading1"/>
      </w:pPr>
      <w:bookmarkStart w:id="1" w:name="O_949884"/>
      <w:bookmarkEnd w:id="1"/>
      <w:r w:rsidRPr="00C7110A">
        <w:t>Modification History</w:t>
      </w:r>
    </w:p>
    <w:p w:rsidR="001608A4" w:rsidP="001608A4">
      <w:pPr>
        <w:pStyle w:val="BodyText"/>
      </w:pPr>
      <w:r w:rsidRPr="00C7110A">
        <w:t>Release 1. Supersedes and is equivalent to MSATCM403A Evaluate mould design and gating.</w:t>
      </w:r>
    </w:p>
    <w:p w:rsidR="00000000" w:rsidRPr="00C7110A" w:rsidP="00C7110A">
      <w:pPr>
        <w:pStyle w:val="Heading1"/>
      </w:pPr>
      <w:bookmarkStart w:id="2" w:name="O_949892"/>
      <w:bookmarkEnd w:id="2"/>
      <w:r w:rsidRPr="00C7110A">
        <w:t>Application</w:t>
      </w:r>
    </w:p>
    <w:p w:rsidR="00000000" w:rsidRPr="00C7110A" w:rsidP="001608A4">
      <w:pPr>
        <w:pStyle w:val="BodyText"/>
      </w:pPr>
      <w:r w:rsidRPr="00C7110A">
        <w:t>This unit of competency defines the knowledge and skills required to evaluate mould design, gating, running and feedi</w:t>
      </w:r>
      <w:r w:rsidRPr="00C7110A">
        <w:t>ng of castings (known as methoding) including understanding the solidification process and techniques to eliminate defects to meet specified quality requirements.</w:t>
      </w:r>
    </w:p>
    <w:p w:rsidR="00000000" w:rsidRPr="00C7110A" w:rsidP="001608A4">
      <w:pPr>
        <w:pStyle w:val="BodyText"/>
      </w:pPr>
      <w:r w:rsidRPr="00C7110A">
        <w:t>It applies where a technician will be required to examine a mould design and draw some conclu</w:t>
      </w:r>
      <w:r w:rsidRPr="00C7110A">
        <w:t xml:space="preserve">sions as to the appropriateness of gating, running and feeding design, or alternatively make some recommendations as to design. </w:t>
      </w:r>
    </w:p>
    <w:p w:rsidR="00000000" w:rsidRPr="00C7110A" w:rsidP="001608A4">
      <w:pPr>
        <w:pStyle w:val="BodyText"/>
      </w:pPr>
      <w:r w:rsidRPr="00C7110A">
        <w:t>No licensing, legislative or certification requirements apply to this unit at the time of publication.</w:t>
      </w:r>
    </w:p>
    <w:p w:rsidR="00000000" w:rsidRPr="00C7110A" w:rsidP="00C7110A">
      <w:pPr>
        <w:pStyle w:val="Heading1"/>
      </w:pPr>
      <w:bookmarkStart w:id="3" w:name="O_949891"/>
      <w:bookmarkEnd w:id="3"/>
      <w:r w:rsidRPr="00C7110A">
        <w:t>Pre-req</w:t>
      </w:r>
      <w:r w:rsidRPr="00C7110A">
        <w:t>uisite Unit</w:t>
      </w:r>
    </w:p>
    <w:p w:rsidR="00000000" w:rsidRPr="00C7110A" w:rsidP="001608A4">
      <w:pPr>
        <w:pStyle w:val="BodyText"/>
      </w:pPr>
      <w:r w:rsidRPr="00C7110A">
        <w:t>MEM48004 Interpret basic binary phase diagrams</w:t>
      </w:r>
    </w:p>
    <w:p w:rsidR="00000000" w:rsidRPr="00C7110A" w:rsidP="001608A4">
      <w:pPr>
        <w:pStyle w:val="BodyText"/>
      </w:pPr>
      <w:r w:rsidRPr="00C7110A">
        <w:t>MEM48005 Apply basic knowledge of casting operations</w:t>
      </w:r>
    </w:p>
    <w:p w:rsidR="00000000" w:rsidRPr="00C7110A" w:rsidP="00C7110A">
      <w:pPr>
        <w:pStyle w:val="Heading1"/>
      </w:pPr>
      <w:bookmarkStart w:id="4" w:name="O_949890"/>
      <w:bookmarkEnd w:id="4"/>
      <w:r w:rsidRPr="00C7110A">
        <w:t>Competency Field</w:t>
      </w:r>
    </w:p>
    <w:p w:rsidR="00000000" w:rsidRPr="00C7110A" w:rsidP="001608A4">
      <w:pPr>
        <w:pStyle w:val="BodyText"/>
      </w:pPr>
      <w:r w:rsidRPr="00C7110A">
        <w:t>Metallurgy</w:t>
      </w:r>
    </w:p>
    <w:p w:rsidR="00000000" w:rsidRPr="00C7110A" w:rsidP="00C7110A">
      <w:pPr>
        <w:pStyle w:val="Heading1"/>
      </w:pPr>
      <w:bookmarkStart w:id="5" w:name="O_949888"/>
      <w:bookmarkEnd w:id="5"/>
      <w:r w:rsidRPr="00C7110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608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0A" w:rsidP="00C7110A">
            <w:pPr>
              <w:pStyle w:val="BodyText"/>
            </w:pPr>
            <w:r w:rsidRPr="00C7110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rPr>
                <w:rStyle w:val="SpecialBold"/>
              </w:rPr>
              <w:t>Performance Criteria</w:t>
            </w:r>
          </w:p>
        </w:tc>
      </w:tr>
      <w:tr w:rsidTr="001608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0A" w:rsidP="00C7110A">
            <w:pPr>
              <w:pStyle w:val="BodyText"/>
            </w:pPr>
            <w:r w:rsidRPr="00C7110A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8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0A" w:rsidP="00C7110A">
            <w:pPr>
              <w:pStyle w:val="BodyText"/>
            </w:pPr>
            <w:r w:rsidRPr="00C7110A">
              <w:t>1.1 Follow standard operating procedures (SOPs)</w:t>
            </w:r>
          </w:p>
          <w:p w:rsidR="00000000" w:rsidRPr="00C7110A" w:rsidP="00C7110A">
            <w:pPr>
              <w:pStyle w:val="BodyText"/>
            </w:pPr>
            <w:r w:rsidRPr="00C7110A">
              <w:t xml:space="preserve">1.2 Comply with work health and safety </w:t>
            </w:r>
            <w:r w:rsidRPr="00C7110A">
              <w:t>(WHS) requirements at all times</w:t>
            </w:r>
          </w:p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t>1.3 Identify job requirements from work information</w:t>
            </w:r>
          </w:p>
        </w:tc>
      </w:tr>
      <w:tr w:rsidTr="001608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t xml:space="preserve">2. Identify specification </w:t>
            </w:r>
            <w:r w:rsidRPr="00C7110A">
              <w:t>requirements for required casting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0A" w:rsidP="00C7110A">
            <w:pPr>
              <w:pStyle w:val="BodyText"/>
            </w:pPr>
            <w:r w:rsidRPr="00C7110A">
              <w:t xml:space="preserve">2.1 Obtain all relevant job requirements and design specifications in </w:t>
            </w:r>
            <w:r w:rsidRPr="00C7110A">
              <w:t>accordance with workplace procedures</w:t>
            </w:r>
          </w:p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t>2.2 Identify and interpret drawing requirements and specifications</w:t>
            </w:r>
          </w:p>
        </w:tc>
      </w:tr>
      <w:tr w:rsidTr="001608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t>3. Evaluate proposed mould design for causes of potential defects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0A" w:rsidP="00C7110A">
            <w:pPr>
              <w:pStyle w:val="BodyText"/>
            </w:pPr>
            <w:r w:rsidRPr="00C7110A">
              <w:t>3.1 Select running, gating and feeding principles and techniques relevant to the particular casting</w:t>
            </w:r>
          </w:p>
          <w:p w:rsidR="00000000" w:rsidRPr="00C7110A" w:rsidP="00C7110A">
            <w:pPr>
              <w:pStyle w:val="BodyText"/>
            </w:pPr>
            <w:r w:rsidRPr="00C7110A">
              <w:t>3.2 Apply relevant sci</w:t>
            </w:r>
            <w:r w:rsidRPr="00C7110A">
              <w:t>entific principles and techniques</w:t>
            </w:r>
          </w:p>
          <w:p w:rsidR="00000000" w:rsidRPr="00C7110A" w:rsidP="00C7110A">
            <w:pPr>
              <w:pStyle w:val="BodyText"/>
            </w:pPr>
            <w:r w:rsidRPr="00C7110A">
              <w:t>3.3 Review placement and sizing of feeder heads</w:t>
            </w:r>
          </w:p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t>3.4 Calculate the size and number of feeder heads and gating for castings</w:t>
            </w:r>
          </w:p>
        </w:tc>
      </w:tr>
      <w:tr w:rsidTr="001608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0A" w:rsidP="00C7110A">
            <w:pPr>
              <w:pStyle w:val="BodyText"/>
            </w:pPr>
            <w:r w:rsidRPr="00C7110A">
              <w:t>4.1 Identify reporting requirements</w:t>
            </w:r>
          </w:p>
          <w:p w:rsidR="00000000" w:rsidRPr="00C7110A" w:rsidP="00C7110A">
            <w:pPr>
              <w:pStyle w:val="BodyText"/>
            </w:pPr>
            <w:r w:rsidRPr="00C7110A">
              <w:t>4.2 Prepare report to meet requirements</w:t>
            </w:r>
          </w:p>
          <w:p w:rsidR="00000000" w:rsidRPr="00C7110A" w:rsidP="00C7110A">
            <w:pPr>
              <w:pStyle w:val="BodyText"/>
            </w:pPr>
            <w:r w:rsidRPr="00C7110A">
              <w:t>4.3 C</w:t>
            </w:r>
            <w:r w:rsidRPr="00C7110A">
              <w:t>irculate and file report to procedures</w:t>
            </w:r>
          </w:p>
        </w:tc>
      </w:tr>
    </w:tbl>
    <w:p w:rsidR="00000000" w:rsidRPr="00C7110A" w:rsidP="00C7110A">
      <w:pPr>
        <w:pStyle w:val="BodyText"/>
      </w:pPr>
    </w:p>
    <w:p w:rsidR="00000000" w:rsidRPr="00C7110A" w:rsidP="00C7110A">
      <w:pPr>
        <w:pStyle w:val="AllowPageBreak"/>
      </w:pPr>
    </w:p>
    <w:p w:rsidR="00000000" w:rsidRPr="00C7110A" w:rsidP="00C7110A">
      <w:pPr>
        <w:pStyle w:val="Heading1"/>
      </w:pPr>
      <w:bookmarkStart w:id="6" w:name="O_949887"/>
      <w:bookmarkEnd w:id="6"/>
      <w:r w:rsidRPr="00C7110A">
        <w:t>Foundation Skills</w:t>
      </w:r>
    </w:p>
    <w:p w:rsidR="00000000" w:rsidRPr="00C7110A" w:rsidP="001608A4">
      <w:pPr>
        <w:pStyle w:val="Heading3"/>
      </w:pPr>
      <w:r w:rsidRPr="00C7110A">
        <w:t>Foundation Skills</w:t>
      </w:r>
    </w:p>
    <w:p w:rsidR="00000000" w:rsidRPr="00C7110A" w:rsidP="001608A4">
      <w:pPr>
        <w:pStyle w:val="BodyText"/>
      </w:pPr>
      <w:r w:rsidRPr="00C7110A">
        <w:t>This section describes those language, literacy, numeracy and employment skills that are essential to performance.</w:t>
      </w:r>
    </w:p>
    <w:p w:rsidR="00000000" w:rsidRPr="00C7110A" w:rsidP="001608A4">
      <w:pPr>
        <w:pStyle w:val="BodyText"/>
      </w:pPr>
      <w:r w:rsidRPr="00C7110A">
        <w:t xml:space="preserve">Foundation skills essential to performance are </w:t>
      </w:r>
      <w:r w:rsidRPr="00C7110A">
        <w:t>explicit in the performance criteria of this unit of competency.</w:t>
      </w:r>
    </w:p>
    <w:p w:rsidR="00000000" w:rsidRPr="00C7110A" w:rsidP="00C7110A">
      <w:pPr>
        <w:pStyle w:val="Heading1"/>
      </w:pPr>
      <w:bookmarkStart w:id="7" w:name="O_949886"/>
      <w:bookmarkEnd w:id="7"/>
      <w:r w:rsidRPr="00C7110A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711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t>This field allows for different work environments and conditions that may affect performance. Essential operating conditions that may be present (dependin</w:t>
            </w:r>
            <w:r w:rsidRPr="00C7110A">
              <w:t>g on the work situation, needs of the candidate, accessibility of the item, and local industry and regional contexts) are included.</w:t>
            </w:r>
          </w:p>
        </w:tc>
      </w:tr>
      <w:tr w:rsidTr="00C7110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0A">
            <w:pPr>
              <w:pStyle w:val="BodyText"/>
              <w:rPr>
                <w:lang w:val="en-NZ"/>
              </w:rPr>
            </w:pPr>
            <w:r w:rsidRPr="00C7110A">
              <w:t>Calculation of size and number of feeder heads and gating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0A" w:rsidP="00C7110A">
            <w:pPr>
              <w:pStyle w:val="ListBullet"/>
            </w:pPr>
            <w:r w:rsidRPr="00C7110A">
              <w:t>ferrous or nonferrous alloys</w:t>
            </w:r>
          </w:p>
          <w:p w:rsidR="00000000" w:rsidRPr="00C7110A" w:rsidP="00C7110A">
            <w:pPr>
              <w:pStyle w:val="ListBullet"/>
            </w:pPr>
            <w:r w:rsidRPr="00C7110A">
              <w:t>pressurised or unpressurised gating systems</w:t>
            </w:r>
          </w:p>
          <w:p w:rsidR="00000000" w:rsidRPr="00C7110A" w:rsidP="00C7110A">
            <w:pPr>
              <w:pStyle w:val="ListBullet"/>
            </w:pPr>
            <w:r w:rsidRPr="00C7110A">
              <w:t>solidification rate of the material</w:t>
            </w:r>
          </w:p>
          <w:p w:rsidR="00000000" w:rsidRPr="00C7110A" w:rsidP="00C7110A">
            <w:pPr>
              <w:pStyle w:val="ListBullet"/>
            </w:pPr>
            <w:r w:rsidRPr="00C7110A">
              <w:t>thermal centre of the casting.</w:t>
            </w:r>
          </w:p>
        </w:tc>
      </w:tr>
    </w:tbl>
    <w:p w:rsidR="001608A4" w:rsidP="00C7110A">
      <w:pPr>
        <w:pStyle w:val="BodyText"/>
      </w:pPr>
    </w:p>
    <w:p w:rsidR="001608A4" w:rsidP="00C7110A">
      <w:pPr>
        <w:pStyle w:val="BodyText"/>
      </w:pPr>
    </w:p>
    <w:p w:rsidR="00000000" w:rsidRPr="00C7110A" w:rsidP="00C7110A">
      <w:pPr>
        <w:pStyle w:val="Heading1"/>
      </w:pPr>
      <w:bookmarkStart w:id="8" w:name="O_949885"/>
      <w:bookmarkEnd w:id="8"/>
      <w:r w:rsidRPr="00C7110A">
        <w:t>Unit Mapping Information</w:t>
      </w:r>
    </w:p>
    <w:p w:rsidR="00000000" w:rsidRPr="00C7110A" w:rsidP="001608A4">
      <w:pPr>
        <w:pStyle w:val="BodyText"/>
      </w:pPr>
      <w:r w:rsidRPr="00C7110A">
        <w:t>Release 1. Supersedes and is equivalent to MSATCM403A Evaluate mould design and gating.</w:t>
      </w:r>
    </w:p>
    <w:p w:rsidR="00000000" w:rsidRPr="00C7110A" w:rsidP="00C7110A">
      <w:pPr>
        <w:pStyle w:val="Heading1"/>
      </w:pPr>
      <w:bookmarkStart w:id="9" w:name="O_949878"/>
      <w:bookmarkEnd w:id="9"/>
      <w:r w:rsidRPr="00C7110A">
        <w:t>Links</w:t>
      </w:r>
    </w:p>
    <w:p w:rsidR="00000000" w:rsidRPr="00C7110A" w:rsidP="001608A4">
      <w:pPr>
        <w:pStyle w:val="BodyText"/>
      </w:pPr>
      <w:r w:rsidRPr="00C7110A">
        <w:t xml:space="preserve">The MEM Metal and Engineering Training Package Companion Volume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079D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110A" w:rsidP="00C7110A"/>
    <w:sectPr w:rsidSect="00C711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0A" w:rsidRPr="001608A4" w:rsidP="00160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A4" w:rsidP="00C71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8A4" w:rsidP="00C71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08A4" w:rsidP="00C71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10A" w:rsidRPr="001608A4" w:rsidP="00160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A4" w:rsidRPr="002D2AF8" w:rsidP="00C71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MEM48008 Evaluate mould design and gating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608A4" w:rsidP="00C71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21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14C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10A"/>
  </w:style>
  <w:style w:type="character" w:customStyle="1" w:styleId="Heading1Char">
    <w:name w:val="Heading 1 Char"/>
    <w:basedOn w:val="DefaultParagraphFont"/>
    <w:link w:val="Heading1"/>
    <w:rsid w:val="00C71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1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1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10A"/>
    <w:rPr>
      <w:b/>
      <w:spacing w:val="0"/>
    </w:rPr>
  </w:style>
  <w:style w:type="character" w:styleId="Emphasis">
    <w:name w:val="Emphasis"/>
    <w:basedOn w:val="DefaultParagraphFont"/>
    <w:qFormat/>
    <w:rsid w:val="00C7110A"/>
    <w:rPr>
      <w:i/>
    </w:rPr>
  </w:style>
  <w:style w:type="paragraph" w:customStyle="1" w:styleId="SuperHeading">
    <w:name w:val="SuperHeading"/>
    <w:basedOn w:val="Normal"/>
    <w:rsid w:val="00C71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1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1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1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1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10A"/>
  </w:style>
  <w:style w:type="paragraph" w:styleId="TableofFigures">
    <w:name w:val="table of figures"/>
    <w:basedOn w:val="Normal"/>
    <w:next w:val="Normal"/>
    <w:semiHidden/>
    <w:rsid w:val="00C71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1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110A"/>
    <w:rPr>
      <w:rFonts w:ascii="Wingdings" w:hAnsi="Wingdings"/>
    </w:rPr>
  </w:style>
  <w:style w:type="paragraph" w:customStyle="1" w:styleId="TableHeading">
    <w:name w:val="Table Heading"/>
    <w:basedOn w:val="HeadingBase"/>
    <w:rsid w:val="00C71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10A"/>
    <w:rPr>
      <w:color w:val="0033CC"/>
      <w:u w:val="none"/>
    </w:rPr>
  </w:style>
  <w:style w:type="paragraph" w:customStyle="1" w:styleId="BodyTextRight">
    <w:name w:val="Body Text Right"/>
    <w:basedOn w:val="BodyText"/>
    <w:rsid w:val="00C71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1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10A"/>
    <w:rPr>
      <w:sz w:val="32"/>
    </w:rPr>
  </w:style>
  <w:style w:type="paragraph" w:customStyle="1" w:styleId="HeadingProcedure">
    <w:name w:val="Heading Procedure"/>
    <w:basedOn w:val="HeadingBase"/>
    <w:next w:val="Normal"/>
    <w:rsid w:val="00C71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10A"/>
    <w:pPr>
      <w:spacing w:before="60" w:after="60"/>
    </w:pPr>
  </w:style>
  <w:style w:type="paragraph" w:styleId="ListContinue">
    <w:name w:val="List Continue"/>
    <w:basedOn w:val="List"/>
    <w:rsid w:val="00C7110A"/>
    <w:pPr>
      <w:ind w:firstLine="0"/>
    </w:pPr>
  </w:style>
  <w:style w:type="paragraph" w:customStyle="1" w:styleId="ListNote">
    <w:name w:val="List Note"/>
    <w:basedOn w:val="List"/>
    <w:rsid w:val="00C71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10A"/>
    <w:rPr>
      <w:rFonts w:ascii="Courier New" w:hAnsi="Courier New"/>
    </w:rPr>
  </w:style>
  <w:style w:type="paragraph" w:customStyle="1" w:styleId="NoteBullet">
    <w:name w:val="Note Bullet"/>
    <w:basedOn w:val="Note"/>
    <w:rsid w:val="00C71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1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1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10A"/>
    <w:rPr>
      <w:b/>
      <w:smallCaps/>
    </w:rPr>
  </w:style>
  <w:style w:type="paragraph" w:customStyle="1" w:styleId="TableListNumber">
    <w:name w:val="Table List Number"/>
    <w:basedOn w:val="ListNumber"/>
    <w:rsid w:val="00C71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10A"/>
    <w:pPr>
      <w:numPr>
        <w:numId w:val="8"/>
      </w:numPr>
    </w:pPr>
  </w:style>
  <w:style w:type="paragraph" w:customStyle="1" w:styleId="ListAlpha2">
    <w:name w:val="List Alpha 2"/>
    <w:basedOn w:val="List2"/>
    <w:rsid w:val="00C7110A"/>
    <w:pPr>
      <w:numPr>
        <w:numId w:val="7"/>
      </w:numPr>
    </w:pPr>
  </w:style>
  <w:style w:type="paragraph" w:styleId="List2">
    <w:name w:val="List 2"/>
    <w:basedOn w:val="BodyText"/>
    <w:rsid w:val="00C71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1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1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110A"/>
    <w:pPr>
      <w:numPr>
        <w:numId w:val="3"/>
      </w:numPr>
    </w:pPr>
  </w:style>
  <w:style w:type="paragraph" w:styleId="ListContinue2">
    <w:name w:val="List Continue 2"/>
    <w:basedOn w:val="List2"/>
    <w:rsid w:val="00C7110A"/>
    <w:pPr>
      <w:ind w:firstLine="0"/>
    </w:pPr>
  </w:style>
  <w:style w:type="paragraph" w:styleId="ListContinue3">
    <w:name w:val="List Continue 3"/>
    <w:basedOn w:val="List3"/>
    <w:rsid w:val="00C7110A"/>
    <w:pPr>
      <w:ind w:left="1021" w:firstLine="0"/>
    </w:pPr>
  </w:style>
  <w:style w:type="paragraph" w:styleId="ListContinue4">
    <w:name w:val="List Continue 4"/>
    <w:basedOn w:val="List4"/>
    <w:rsid w:val="00C7110A"/>
    <w:pPr>
      <w:ind w:firstLine="0"/>
    </w:pPr>
  </w:style>
  <w:style w:type="paragraph" w:styleId="ListContinue5">
    <w:name w:val="List Continue 5"/>
    <w:basedOn w:val="List5"/>
    <w:rsid w:val="00C7110A"/>
    <w:pPr>
      <w:ind w:firstLine="0"/>
    </w:pPr>
  </w:style>
  <w:style w:type="paragraph" w:styleId="ListNumber3">
    <w:name w:val="List Number 3"/>
    <w:basedOn w:val="List3"/>
    <w:rsid w:val="00C7110A"/>
    <w:pPr>
      <w:numPr>
        <w:numId w:val="4"/>
      </w:numPr>
    </w:pPr>
  </w:style>
  <w:style w:type="paragraph" w:styleId="ListNumber4">
    <w:name w:val="List Number 4"/>
    <w:basedOn w:val="List4"/>
    <w:rsid w:val="00C7110A"/>
    <w:pPr>
      <w:numPr>
        <w:numId w:val="5"/>
      </w:numPr>
    </w:pPr>
  </w:style>
  <w:style w:type="paragraph" w:styleId="ListNumber5">
    <w:name w:val="List Number 5"/>
    <w:basedOn w:val="List5"/>
    <w:rsid w:val="00C7110A"/>
    <w:pPr>
      <w:numPr>
        <w:numId w:val="6"/>
      </w:numPr>
    </w:pPr>
  </w:style>
  <w:style w:type="paragraph" w:styleId="BlockText">
    <w:name w:val="Block Text"/>
    <w:basedOn w:val="Normal"/>
    <w:rsid w:val="00C71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10A"/>
    <w:rPr>
      <w:sz w:val="16"/>
      <w:vertAlign w:val="superscript"/>
    </w:rPr>
  </w:style>
  <w:style w:type="character" w:customStyle="1" w:styleId="Symbols">
    <w:name w:val="Symbols"/>
    <w:basedOn w:val="DefaultParagraphFont"/>
    <w:rsid w:val="00C7110A"/>
    <w:rPr>
      <w:rFonts w:ascii="Symbol" w:hAnsi="Symbol"/>
    </w:rPr>
  </w:style>
  <w:style w:type="character" w:customStyle="1" w:styleId="MenuOptions">
    <w:name w:val="Menu Options"/>
    <w:basedOn w:val="DefaultParagraphFont"/>
    <w:rsid w:val="00C71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10A"/>
    <w:rPr>
      <w:b/>
    </w:rPr>
  </w:style>
  <w:style w:type="character" w:customStyle="1" w:styleId="Underlined">
    <w:name w:val="Underlined"/>
    <w:basedOn w:val="DefaultParagraphFont"/>
    <w:rsid w:val="00C7110A"/>
    <w:rPr>
      <w:u w:val="single"/>
    </w:rPr>
  </w:style>
  <w:style w:type="paragraph" w:customStyle="1" w:styleId="TableBodyTextRight">
    <w:name w:val="Table Body Text Right"/>
    <w:basedOn w:val="TableBodyText"/>
    <w:rsid w:val="00C71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10A"/>
    <w:rPr>
      <w:sz w:val="18"/>
    </w:rPr>
  </w:style>
  <w:style w:type="paragraph" w:customStyle="1" w:styleId="BodySmallRight">
    <w:name w:val="Body Small Right"/>
    <w:basedOn w:val="BodyTextRight"/>
    <w:rsid w:val="00C7110A"/>
    <w:rPr>
      <w:sz w:val="18"/>
      <w:szCs w:val="18"/>
    </w:rPr>
  </w:style>
  <w:style w:type="paragraph" w:customStyle="1" w:styleId="MarginEdition">
    <w:name w:val="Margin Edition"/>
    <w:basedOn w:val="MarginNote"/>
    <w:rsid w:val="00C71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10A"/>
    <w:rPr>
      <w:sz w:val="2"/>
      <w:szCs w:val="2"/>
    </w:rPr>
  </w:style>
  <w:style w:type="character" w:customStyle="1" w:styleId="Small">
    <w:name w:val="Small"/>
    <w:basedOn w:val="DefaultParagraphFont"/>
    <w:rsid w:val="00C7110A"/>
    <w:rPr>
      <w:sz w:val="16"/>
    </w:rPr>
  </w:style>
  <w:style w:type="paragraph" w:customStyle="1" w:styleId="WideTable">
    <w:name w:val="Wide Table"/>
    <w:basedOn w:val="Normal"/>
    <w:rsid w:val="00C71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10A"/>
  </w:style>
  <w:style w:type="paragraph" w:styleId="Quote">
    <w:name w:val="Quote"/>
    <w:basedOn w:val="Heading1"/>
    <w:link w:val="QuoteChar"/>
    <w:qFormat/>
    <w:rsid w:val="00C71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10A"/>
    <w:pPr>
      <w:pageBreakBefore/>
    </w:pPr>
  </w:style>
  <w:style w:type="paragraph" w:customStyle="1" w:styleId="Border">
    <w:name w:val="Border"/>
    <w:basedOn w:val="Normal"/>
    <w:qFormat/>
    <w:rsid w:val="00C71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10A"/>
    <w:rPr>
      <w:u w:val="single"/>
    </w:rPr>
  </w:style>
  <w:style w:type="character" w:customStyle="1" w:styleId="BoldandItalics">
    <w:name w:val="Bold and Italics"/>
    <w:qFormat/>
    <w:rsid w:val="00C7110A"/>
    <w:rPr>
      <w:b/>
      <w:i/>
      <w:u w:val="none"/>
    </w:rPr>
  </w:style>
  <w:style w:type="paragraph" w:styleId="BalloonText">
    <w:name w:val="Balloon Text"/>
    <w:basedOn w:val="Normal"/>
    <w:link w:val="BalloonTextChar"/>
    <w:rsid w:val="00C71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10A"/>
    <w:pPr>
      <w:spacing w:before="0" w:after="0"/>
    </w:pPr>
  </w:style>
  <w:style w:type="paragraph" w:customStyle="1" w:styleId="BodyTextBold">
    <w:name w:val="Body Text Bold"/>
    <w:basedOn w:val="BodyText"/>
    <w:qFormat/>
    <w:rsid w:val="00C7110A"/>
    <w:rPr>
      <w:b/>
    </w:rPr>
  </w:style>
  <w:style w:type="character" w:styleId="Hyperlink">
    <w:name w:val="Hyperlink"/>
    <w:basedOn w:val="DefaultParagraphFont"/>
    <w:uiPriority w:val="99"/>
    <w:unhideWhenUsed/>
    <w:rsid w:val="00160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2928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MEM48008 Evaluate mould design and gating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