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2BF8" w:rsidP="002F2B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MEM48007 Monitor and test sands, cores and moulds</w:t>
      </w:r>
      <w:r>
        <w:fldChar w:fldCharType="end"/>
      </w:r>
    </w:p>
    <w:p w:rsidR="002F2BF8" w:rsidP="002F2BF8">
      <w:pPr>
        <w:pStyle w:val="Version"/>
        <w:sectPr w:rsidSect="00AA6C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6C7A" w:rsidP="00AA6C7A">
      <w:pPr>
        <w:pStyle w:val="SuperHeading"/>
      </w:pPr>
      <w:r w:rsidRPr="00AA6C7A">
        <w:t>MEM48007 Monitor and test sands, cores and moulds</w:t>
      </w:r>
    </w:p>
    <w:p w:rsidR="00000000" w:rsidRPr="00AA6C7A" w:rsidP="00AA6C7A">
      <w:pPr>
        <w:pStyle w:val="Heading1"/>
      </w:pPr>
      <w:bookmarkStart w:id="1" w:name="O_949865"/>
      <w:bookmarkEnd w:id="1"/>
      <w:r w:rsidRPr="00AA6C7A">
        <w:t>Modification History</w:t>
      </w:r>
    </w:p>
    <w:p w:rsidR="00000000" w:rsidRPr="00AA6C7A" w:rsidP="002F2BF8">
      <w:pPr>
        <w:pStyle w:val="BodyText"/>
      </w:pPr>
      <w:r w:rsidRPr="00AA6C7A">
        <w:t xml:space="preserve">Release 1. Supersedes and is equivalent to MSATCM402A Monitor and test sands, cores and moulds. </w:t>
      </w:r>
    </w:p>
    <w:p w:rsidR="00000000" w:rsidRPr="00AA6C7A" w:rsidP="00AA6C7A">
      <w:pPr>
        <w:pStyle w:val="Heading1"/>
      </w:pPr>
      <w:bookmarkStart w:id="2" w:name="O_949873"/>
      <w:bookmarkEnd w:id="2"/>
      <w:r w:rsidRPr="00AA6C7A">
        <w:t>Application</w:t>
      </w:r>
    </w:p>
    <w:p w:rsidR="00000000" w:rsidRPr="00AA6C7A" w:rsidP="002F2BF8">
      <w:pPr>
        <w:pStyle w:val="BodyText"/>
      </w:pPr>
      <w:r w:rsidRPr="00AA6C7A">
        <w:t>This unit of competency defines the knowledge and skills required to analyse mould and or core perfor</w:t>
      </w:r>
      <w:r w:rsidRPr="00AA6C7A">
        <w:t>mance in terms of their design and sands used.</w:t>
      </w:r>
    </w:p>
    <w:p w:rsidR="00000000" w:rsidRPr="00AA6C7A" w:rsidP="002F2BF8">
      <w:pPr>
        <w:pStyle w:val="BodyText"/>
      </w:pPr>
      <w:r w:rsidRPr="00AA6C7A">
        <w:t>It applies where a technician will be required to draw conclusions as to the appropriateness of mould and/or core design and sand type chosen and make recommendations about design and selection of sands.</w:t>
      </w:r>
    </w:p>
    <w:p w:rsidR="00000000" w:rsidRPr="00AA6C7A" w:rsidP="002F2BF8">
      <w:pPr>
        <w:pStyle w:val="BodyText"/>
      </w:pPr>
      <w:r w:rsidRPr="00AA6C7A">
        <w:t>No li</w:t>
      </w:r>
      <w:r w:rsidRPr="00AA6C7A">
        <w:t>censing, legislative or certification requirements apply to this unit at the time of publication.</w:t>
      </w:r>
    </w:p>
    <w:p w:rsidR="00000000" w:rsidRPr="00AA6C7A" w:rsidP="00AA6C7A">
      <w:pPr>
        <w:pStyle w:val="Heading1"/>
      </w:pPr>
      <w:bookmarkStart w:id="3" w:name="O_949872"/>
      <w:bookmarkEnd w:id="3"/>
      <w:r w:rsidRPr="00AA6C7A">
        <w:t>Pre-requisite Unit</w:t>
      </w:r>
    </w:p>
    <w:p w:rsidR="00000000" w:rsidRPr="00AA6C7A" w:rsidP="002F2BF8">
      <w:pPr>
        <w:pStyle w:val="BodyText"/>
      </w:pPr>
      <w:r w:rsidRPr="00AA6C7A">
        <w:t>Nil</w:t>
      </w:r>
    </w:p>
    <w:p w:rsidR="00000000" w:rsidRPr="00AA6C7A" w:rsidP="00AA6C7A">
      <w:pPr>
        <w:pStyle w:val="Heading1"/>
      </w:pPr>
      <w:bookmarkStart w:id="4" w:name="O_949871"/>
      <w:bookmarkEnd w:id="4"/>
      <w:r w:rsidRPr="00AA6C7A">
        <w:t>Competency Field</w:t>
      </w:r>
    </w:p>
    <w:p w:rsidR="00000000" w:rsidRPr="00AA6C7A" w:rsidP="002F2BF8">
      <w:pPr>
        <w:pStyle w:val="BodyText"/>
      </w:pPr>
      <w:r w:rsidRPr="00AA6C7A">
        <w:t>Metallurgy</w:t>
      </w:r>
    </w:p>
    <w:p w:rsidR="00000000" w:rsidRPr="00AA6C7A" w:rsidP="00AA6C7A">
      <w:pPr>
        <w:pStyle w:val="Heading1"/>
      </w:pPr>
      <w:bookmarkStart w:id="5" w:name="O_949869"/>
      <w:bookmarkEnd w:id="5"/>
      <w:r w:rsidRPr="00AA6C7A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2F2BF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C7A" w:rsidP="00AA6C7A">
            <w:pPr>
              <w:pStyle w:val="BodyText"/>
            </w:pPr>
            <w:r w:rsidRPr="00AA6C7A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7A">
            <w:pPr>
              <w:pStyle w:val="BodyText"/>
              <w:rPr>
                <w:lang w:val="en-NZ"/>
              </w:rPr>
            </w:pPr>
            <w:r w:rsidRPr="00AA6C7A">
              <w:rPr>
                <w:rStyle w:val="SpecialBold"/>
              </w:rPr>
              <w:t>Performance C</w:t>
            </w:r>
            <w:r w:rsidRPr="00AA6C7A">
              <w:rPr>
                <w:rStyle w:val="SpecialBold"/>
              </w:rPr>
              <w:t>riteria</w:t>
            </w:r>
          </w:p>
        </w:tc>
      </w:tr>
      <w:tr w:rsidTr="002F2BF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C7A" w:rsidP="00AA6C7A">
            <w:pPr>
              <w:pStyle w:val="BodyText"/>
            </w:pPr>
            <w:r w:rsidRPr="00AA6C7A">
              <w:rPr>
                <w:rStyle w:val="Emphasis"/>
              </w:rPr>
              <w:t xml:space="preserve">Elements describe the </w:t>
            </w:r>
            <w:r w:rsidRPr="00AA6C7A">
              <w:t xml:space="preserve">essential </w:t>
            </w:r>
            <w:r w:rsidRPr="00AA6C7A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7A">
            <w:pPr>
              <w:pStyle w:val="BodyText"/>
              <w:rPr>
                <w:lang w:val="en-NZ"/>
              </w:rPr>
            </w:pPr>
            <w:r w:rsidRPr="00AA6C7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F2BF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7A">
            <w:pPr>
              <w:pStyle w:val="BodyText"/>
              <w:rPr>
                <w:lang w:val="en-NZ"/>
              </w:rPr>
            </w:pPr>
            <w:r w:rsidRPr="00AA6C7A">
              <w:t>1. Determine job 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C7A" w:rsidP="00AA6C7A">
            <w:pPr>
              <w:pStyle w:val="BodyText"/>
            </w:pPr>
            <w:r w:rsidRPr="00AA6C7A">
              <w:t>1.1 Follow standard operating procedures (SOPs)</w:t>
            </w:r>
          </w:p>
          <w:p w:rsidR="00000000" w:rsidRPr="00AA6C7A" w:rsidP="00AA6C7A">
            <w:pPr>
              <w:pStyle w:val="BodyText"/>
            </w:pPr>
            <w:r w:rsidRPr="00AA6C7A">
              <w:t>1.2 Comply with work health and safety (WHS) requirements</w:t>
            </w:r>
          </w:p>
          <w:p w:rsidR="00000000" w:rsidRPr="00AA6C7A" w:rsidP="00AA6C7A">
            <w:pPr>
              <w:pStyle w:val="BodyText"/>
            </w:pPr>
            <w:r w:rsidRPr="00AA6C7A">
              <w:t>1.3 Use appropriate personal protective equipment (PPE) in accordance with SOPs</w:t>
            </w:r>
          </w:p>
          <w:p w:rsidR="00000000" w:rsidP="00AA6C7A">
            <w:pPr>
              <w:pStyle w:val="BodyText"/>
              <w:rPr>
                <w:lang w:val="en-NZ"/>
              </w:rPr>
            </w:pPr>
            <w:r w:rsidRPr="00AA6C7A">
              <w:t>1.4 Identify job requirements from work information</w:t>
            </w:r>
          </w:p>
        </w:tc>
      </w:tr>
      <w:tr w:rsidTr="002F2BF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7A">
            <w:pPr>
              <w:pStyle w:val="BodyText"/>
              <w:rPr>
                <w:lang w:val="en-NZ"/>
              </w:rPr>
            </w:pPr>
            <w:r w:rsidRPr="00AA6C7A">
              <w:t>2. Control hazards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C7A" w:rsidP="00AA6C7A">
            <w:pPr>
              <w:pStyle w:val="BodyText"/>
            </w:pPr>
            <w:r w:rsidRPr="00AA6C7A">
              <w:t xml:space="preserve">2.1 Identify hazards in the sand mould and/or </w:t>
            </w:r>
            <w:r w:rsidRPr="00AA6C7A">
              <w:t>core making process</w:t>
            </w:r>
          </w:p>
          <w:p w:rsidR="00000000" w:rsidRPr="00AA6C7A" w:rsidP="00AA6C7A">
            <w:pPr>
              <w:pStyle w:val="BodyText"/>
            </w:pPr>
            <w:r w:rsidRPr="00AA6C7A">
              <w:t>2.2 Assess the risks arising from those hazards</w:t>
            </w:r>
          </w:p>
          <w:p w:rsidR="00000000" w:rsidP="00AA6C7A">
            <w:pPr>
              <w:pStyle w:val="BodyText"/>
              <w:rPr>
                <w:lang w:val="en-NZ"/>
              </w:rPr>
            </w:pPr>
            <w:r w:rsidRPr="00AA6C7A">
              <w:t xml:space="preserve">2.3 Implement procedures to control those hazards in line with </w:t>
            </w:r>
            <w:r w:rsidRPr="00AA6C7A">
              <w:t>procedures and duty of care</w:t>
            </w:r>
          </w:p>
        </w:tc>
      </w:tr>
      <w:tr w:rsidTr="002F2BF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7A">
            <w:pPr>
              <w:pStyle w:val="BodyText"/>
              <w:rPr>
                <w:lang w:val="en-NZ"/>
              </w:rPr>
            </w:pPr>
            <w:r w:rsidRPr="00AA6C7A">
              <w:t>3. Select appropriate sand characteristics for job and process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C7A" w:rsidP="00AA6C7A">
            <w:pPr>
              <w:pStyle w:val="BodyText"/>
            </w:pPr>
            <w:r w:rsidRPr="00AA6C7A">
              <w:t>3.1 Determine requirements of the</w:t>
            </w:r>
            <w:r w:rsidRPr="00AA6C7A">
              <w:t xml:space="preserve"> casting</w:t>
            </w:r>
          </w:p>
          <w:p w:rsidR="00000000" w:rsidRPr="00AA6C7A" w:rsidP="00AA6C7A">
            <w:pPr>
              <w:pStyle w:val="BodyText"/>
            </w:pPr>
            <w:r w:rsidRPr="00AA6C7A">
              <w:t>3.2 Identify types of sand appropriate for the type of mould or core</w:t>
            </w:r>
          </w:p>
          <w:p w:rsidR="00000000" w:rsidRPr="00AA6C7A" w:rsidP="00AA6C7A">
            <w:pPr>
              <w:pStyle w:val="BodyText"/>
            </w:pPr>
            <w:r w:rsidRPr="00AA6C7A">
              <w:t>3.3 Identify types of binders appropriate for the job</w:t>
            </w:r>
          </w:p>
          <w:p w:rsidR="00000000" w:rsidP="00AA6C7A">
            <w:pPr>
              <w:pStyle w:val="BodyText"/>
              <w:rPr>
                <w:lang w:val="en-NZ"/>
              </w:rPr>
            </w:pPr>
            <w:r w:rsidRPr="00AA6C7A">
              <w:t>3.4 Select sand and/or binder mix appropriate for the job</w:t>
            </w:r>
          </w:p>
        </w:tc>
      </w:tr>
      <w:tr w:rsidTr="002F2BF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7A">
            <w:pPr>
              <w:pStyle w:val="BodyText"/>
              <w:rPr>
                <w:lang w:val="en-NZ"/>
              </w:rPr>
            </w:pPr>
            <w:r w:rsidRPr="00AA6C7A">
              <w:t>4. Prepare, test and evaluate moulding sand to desired characteristics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C7A" w:rsidP="00AA6C7A">
            <w:pPr>
              <w:pStyle w:val="BodyText"/>
            </w:pPr>
            <w:r w:rsidRPr="00AA6C7A">
              <w:t>4.1 Monitor preparation of bonded sand mix</w:t>
            </w:r>
          </w:p>
          <w:p w:rsidR="00000000" w:rsidRPr="00AA6C7A" w:rsidP="00AA6C7A">
            <w:pPr>
              <w:pStyle w:val="BodyText"/>
            </w:pPr>
            <w:r w:rsidRPr="00AA6C7A">
              <w:t xml:space="preserve">4.2 Test materials prepared </w:t>
            </w:r>
          </w:p>
          <w:p w:rsidR="00000000" w:rsidP="00AA6C7A">
            <w:pPr>
              <w:pStyle w:val="BodyText"/>
              <w:rPr>
                <w:lang w:val="en-NZ"/>
              </w:rPr>
            </w:pPr>
            <w:r w:rsidRPr="00AA6C7A">
              <w:t>4.3 Evaluate test results and report</w:t>
            </w:r>
          </w:p>
        </w:tc>
      </w:tr>
      <w:tr w:rsidTr="002F2BF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7A">
            <w:pPr>
              <w:pStyle w:val="BodyText"/>
              <w:rPr>
                <w:lang w:val="en-NZ"/>
              </w:rPr>
            </w:pPr>
            <w:r w:rsidRPr="00AA6C7A">
              <w:t>5. Evaluate finished casting for defects related to sand characteristics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C7A" w:rsidP="00AA6C7A">
            <w:pPr>
              <w:pStyle w:val="BodyText"/>
            </w:pPr>
            <w:r w:rsidRPr="00AA6C7A">
              <w:t>5.</w:t>
            </w:r>
            <w:r w:rsidRPr="00AA6C7A">
              <w:t xml:space="preserve">1 Examine casting for sand-related defects </w:t>
            </w:r>
          </w:p>
          <w:p w:rsidR="00000000" w:rsidRPr="00AA6C7A" w:rsidP="00AA6C7A">
            <w:pPr>
              <w:pStyle w:val="BodyText"/>
            </w:pPr>
            <w:r w:rsidRPr="00AA6C7A">
              <w:t>5.2 Determine cause of sand-related defects</w:t>
            </w:r>
          </w:p>
          <w:p w:rsidR="00000000" w:rsidP="00AA6C7A">
            <w:pPr>
              <w:pStyle w:val="BodyText"/>
              <w:rPr>
                <w:lang w:val="en-NZ"/>
              </w:rPr>
            </w:pPr>
            <w:r w:rsidRPr="00AA6C7A">
              <w:t>5.3 Recommend improvements to sand type and/or preparation</w:t>
            </w:r>
          </w:p>
        </w:tc>
      </w:tr>
      <w:tr w:rsidTr="002F2BF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7A">
            <w:pPr>
              <w:pStyle w:val="BodyText"/>
              <w:rPr>
                <w:lang w:val="en-NZ"/>
              </w:rPr>
            </w:pPr>
            <w:r w:rsidRPr="00AA6C7A">
              <w:t>6. Report results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C7A" w:rsidP="00AA6C7A">
            <w:pPr>
              <w:pStyle w:val="BodyText"/>
            </w:pPr>
            <w:r w:rsidRPr="00AA6C7A">
              <w:t>6.1 Identify reporting requirements</w:t>
            </w:r>
          </w:p>
          <w:p w:rsidR="00000000" w:rsidRPr="00AA6C7A" w:rsidP="00AA6C7A">
            <w:pPr>
              <w:pStyle w:val="BodyText"/>
            </w:pPr>
            <w:r w:rsidRPr="00AA6C7A">
              <w:t>6.2 Prepare report to meet requirements</w:t>
            </w:r>
          </w:p>
          <w:p w:rsidR="00000000" w:rsidRPr="00AA6C7A" w:rsidP="00AA6C7A">
            <w:pPr>
              <w:pStyle w:val="BodyText"/>
            </w:pPr>
            <w:r w:rsidRPr="00AA6C7A">
              <w:t xml:space="preserve">6.3 Circulate </w:t>
            </w:r>
            <w:r w:rsidRPr="00AA6C7A">
              <w:t>and file report to procedures</w:t>
            </w:r>
          </w:p>
        </w:tc>
      </w:tr>
    </w:tbl>
    <w:p w:rsidR="00000000" w:rsidRPr="00AA6C7A" w:rsidP="00AA6C7A">
      <w:pPr>
        <w:pStyle w:val="BodyText"/>
      </w:pPr>
    </w:p>
    <w:p w:rsidR="00000000" w:rsidRPr="00AA6C7A" w:rsidP="00AA6C7A">
      <w:pPr>
        <w:pStyle w:val="AllowPageBreak"/>
      </w:pPr>
    </w:p>
    <w:p w:rsidR="00000000" w:rsidRPr="00AA6C7A" w:rsidP="00AA6C7A">
      <w:pPr>
        <w:pStyle w:val="Heading1"/>
      </w:pPr>
      <w:bookmarkStart w:id="6" w:name="O_949868"/>
      <w:bookmarkEnd w:id="6"/>
      <w:r w:rsidRPr="00AA6C7A">
        <w:t>Foundation Skills</w:t>
      </w:r>
    </w:p>
    <w:p w:rsidR="00000000" w:rsidRPr="00AA6C7A" w:rsidP="002F2BF8">
      <w:pPr>
        <w:pStyle w:val="BodyText"/>
      </w:pPr>
      <w:r w:rsidRPr="00AA6C7A">
        <w:t>This section describes those language, literacy, numeracy and employment skills that are essential to performance.</w:t>
      </w:r>
    </w:p>
    <w:p w:rsidR="00000000" w:rsidRPr="00AA6C7A" w:rsidP="002F2BF8">
      <w:pPr>
        <w:pStyle w:val="BodyText"/>
      </w:pPr>
      <w:r w:rsidRPr="00AA6C7A">
        <w:t>Foundation skills essential to performance are explicit in the performance</w:t>
      </w:r>
      <w:r w:rsidRPr="00AA6C7A">
        <w:t xml:space="preserve"> criteria of this unit of competency.</w:t>
      </w:r>
    </w:p>
    <w:p w:rsidR="00000000" w:rsidRPr="00AA6C7A" w:rsidP="00AA6C7A">
      <w:pPr>
        <w:pStyle w:val="Heading1"/>
      </w:pPr>
      <w:bookmarkStart w:id="7" w:name="O_949867"/>
      <w:bookmarkEnd w:id="7"/>
      <w:r w:rsidRPr="00AA6C7A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AA6C7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7A">
            <w:pPr>
              <w:pStyle w:val="BodyText"/>
              <w:rPr>
                <w:lang w:val="en-NZ"/>
              </w:rPr>
            </w:pPr>
            <w:r w:rsidRPr="00AA6C7A">
              <w:t xml:space="preserve">This field allows for different work environments and conditions that may affect performance. Essential operating conditions that may be present </w:t>
            </w:r>
            <w:r w:rsidRPr="00AA6C7A">
              <w:t>(depending on the work situation, needs of the candidate, accessibility of the item, and local industry and regional contexts) are included.</w:t>
            </w:r>
          </w:p>
        </w:tc>
      </w:tr>
      <w:tr w:rsidTr="00AA6C7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7A">
            <w:pPr>
              <w:pStyle w:val="BodyText"/>
              <w:rPr>
                <w:lang w:val="en-NZ"/>
              </w:rPr>
            </w:pPr>
            <w:r w:rsidRPr="00AA6C7A">
              <w:t>Hazards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C7A" w:rsidP="00AA6C7A">
            <w:pPr>
              <w:pStyle w:val="ListBullet"/>
            </w:pPr>
            <w:r w:rsidRPr="00AA6C7A">
              <w:t>identification by standard techniques including safety data sheets (SDS)</w:t>
            </w:r>
          </w:p>
          <w:p w:rsidR="00000000" w:rsidP="00AA6C7A">
            <w:pPr>
              <w:pStyle w:val="ListBullet"/>
              <w:rPr>
                <w:lang w:val="en-NZ"/>
              </w:rPr>
            </w:pPr>
            <w:r w:rsidRPr="00AA6C7A">
              <w:t>control according to t</w:t>
            </w:r>
            <w:r w:rsidRPr="00AA6C7A">
              <w:t>he hierarchy of control and SOPs.</w:t>
            </w:r>
          </w:p>
        </w:tc>
      </w:tr>
      <w:tr w:rsidTr="00AA6C7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7A">
            <w:pPr>
              <w:pStyle w:val="BodyText"/>
              <w:rPr>
                <w:lang w:val="en-NZ"/>
              </w:rPr>
            </w:pPr>
            <w:r w:rsidRPr="00AA6C7A">
              <w:t>Bonded materials for sand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C7A" w:rsidP="00AA6C7A">
            <w:pPr>
              <w:pStyle w:val="ListBullet"/>
            </w:pPr>
            <w:r w:rsidRPr="00AA6C7A">
              <w:t>clay</w:t>
            </w:r>
          </w:p>
          <w:p w:rsidR="00000000" w:rsidRPr="00AA6C7A" w:rsidP="00AA6C7A">
            <w:pPr>
              <w:pStyle w:val="ListBullet"/>
            </w:pPr>
            <w:r w:rsidRPr="00AA6C7A">
              <w:t>organic binders</w:t>
            </w:r>
          </w:p>
          <w:p w:rsidR="00000000" w:rsidP="00AA6C7A">
            <w:pPr>
              <w:pStyle w:val="ListBullet"/>
              <w:rPr>
                <w:lang w:val="en-NZ"/>
              </w:rPr>
            </w:pPr>
            <w:r w:rsidRPr="00AA6C7A">
              <w:t>inorganic binders.</w:t>
            </w:r>
          </w:p>
        </w:tc>
      </w:tr>
      <w:tr w:rsidTr="00AA6C7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7A">
            <w:pPr>
              <w:pStyle w:val="BodyText"/>
              <w:rPr>
                <w:lang w:val="en-NZ"/>
              </w:rPr>
            </w:pPr>
            <w:r w:rsidRPr="00AA6C7A">
              <w:t>Sand-related defects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C7A" w:rsidP="00AA6C7A">
            <w:pPr>
              <w:pStyle w:val="ListBullet"/>
            </w:pPr>
            <w:r w:rsidRPr="00AA6C7A">
              <w:t>wash</w:t>
            </w:r>
          </w:p>
          <w:p w:rsidR="00000000" w:rsidRPr="00AA6C7A" w:rsidP="00AA6C7A">
            <w:pPr>
              <w:pStyle w:val="ListBullet"/>
            </w:pPr>
            <w:r w:rsidRPr="00AA6C7A">
              <w:t>expansion</w:t>
            </w:r>
          </w:p>
          <w:p w:rsidR="00000000" w:rsidRPr="00AA6C7A" w:rsidP="00AA6C7A">
            <w:pPr>
              <w:pStyle w:val="ListBullet"/>
            </w:pPr>
            <w:r w:rsidRPr="00AA6C7A">
              <w:t>scabbing</w:t>
            </w:r>
          </w:p>
          <w:p w:rsidR="00000000" w:rsidRPr="00AA6C7A" w:rsidP="00AA6C7A">
            <w:pPr>
              <w:pStyle w:val="ListBullet"/>
            </w:pPr>
            <w:r w:rsidRPr="00AA6C7A">
              <w:t>rat-tails.</w:t>
            </w:r>
          </w:p>
        </w:tc>
      </w:tr>
    </w:tbl>
    <w:p w:rsidR="00000000" w:rsidRPr="00AA6C7A" w:rsidP="00AA6C7A">
      <w:pPr>
        <w:pStyle w:val="BodyText"/>
      </w:pPr>
    </w:p>
    <w:p w:rsidR="00000000" w:rsidRPr="00AA6C7A" w:rsidP="00AA6C7A">
      <w:pPr>
        <w:pStyle w:val="AllowPageBreak"/>
      </w:pPr>
    </w:p>
    <w:p w:rsidR="00000000" w:rsidRPr="00AA6C7A" w:rsidP="00AA6C7A">
      <w:pPr>
        <w:pStyle w:val="Heading1"/>
      </w:pPr>
      <w:bookmarkStart w:id="8" w:name="O_949866"/>
      <w:bookmarkEnd w:id="8"/>
      <w:r w:rsidRPr="00AA6C7A">
        <w:t>Unit Mapping Information</w:t>
      </w:r>
    </w:p>
    <w:p w:rsidR="00000000" w:rsidRPr="00AA6C7A" w:rsidP="002F2BF8">
      <w:pPr>
        <w:pStyle w:val="BodyText"/>
      </w:pPr>
      <w:r w:rsidRPr="00AA6C7A">
        <w:t>Release 1. Supersedes and is equivalent to MSATCM402A Monitor and test sands, cores and moulds.</w:t>
      </w:r>
    </w:p>
    <w:p w:rsidR="00000000" w:rsidRPr="00AA6C7A" w:rsidP="00AA6C7A">
      <w:pPr>
        <w:pStyle w:val="Heading1"/>
      </w:pPr>
      <w:bookmarkStart w:id="9" w:name="O_949859"/>
      <w:bookmarkEnd w:id="9"/>
      <w:r w:rsidRPr="00AA6C7A">
        <w:t>Links</w:t>
      </w:r>
    </w:p>
    <w:p w:rsidR="00000000" w:rsidRPr="00AA6C7A" w:rsidP="002F2BF8">
      <w:pPr>
        <w:pStyle w:val="BodyText"/>
      </w:pPr>
      <w:r w:rsidRPr="00AA6C7A">
        <w:t xml:space="preserve">The MEM Metal and Engineering Training Package Companion Volume Implementation Guide is available from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4A685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A6C7A" w:rsidP="00AA6C7A"/>
    <w:sectPr w:rsidSect="00AA6C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C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C7A" w:rsidRPr="002F2BF8" w:rsidP="002F2B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C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BF8" w:rsidP="00AA6C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2BF8" w:rsidP="00AA6C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F2BF8" w:rsidP="00AA6C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C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B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6C7A" w:rsidRPr="002F2BF8" w:rsidP="002F2B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C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BF8" w:rsidRPr="002D2AF8" w:rsidP="00AA6C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MEM48007 Monitor and test sands, cores and moulds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2F2BF8" w:rsidP="00AA6C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C56D3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71009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C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6C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6C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6C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6C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6C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6C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6C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6C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6C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6C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6C7A"/>
  </w:style>
  <w:style w:type="character" w:customStyle="1" w:styleId="Heading1Char">
    <w:name w:val="Heading 1 Char"/>
    <w:basedOn w:val="DefaultParagraphFont"/>
    <w:link w:val="Heading1"/>
    <w:rsid w:val="00AA6C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6C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6C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6C7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6C7A"/>
    <w:rPr>
      <w:b/>
      <w:spacing w:val="0"/>
    </w:rPr>
  </w:style>
  <w:style w:type="character" w:styleId="Emphasis">
    <w:name w:val="Emphasis"/>
    <w:basedOn w:val="DefaultParagraphFont"/>
    <w:qFormat/>
    <w:rsid w:val="00AA6C7A"/>
    <w:rPr>
      <w:i/>
    </w:rPr>
  </w:style>
  <w:style w:type="paragraph" w:customStyle="1" w:styleId="SuperHeading">
    <w:name w:val="SuperHeading"/>
    <w:basedOn w:val="Normal"/>
    <w:rsid w:val="00AA6C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6C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6C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6C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6C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6C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6C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6C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6C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6C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6C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6C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6C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6C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6C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6C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6C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6C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6C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6C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6C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6C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6C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6C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6C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6C7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6C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6C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6C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6C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6C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6C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6C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6C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6C7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A6C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6C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6C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6C7A"/>
  </w:style>
  <w:style w:type="paragraph" w:styleId="TableofFigures">
    <w:name w:val="table of figures"/>
    <w:basedOn w:val="Normal"/>
    <w:next w:val="Normal"/>
    <w:semiHidden/>
    <w:rsid w:val="00AA6C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6C7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A6C7A"/>
    <w:rPr>
      <w:rFonts w:ascii="Wingdings" w:hAnsi="Wingdings"/>
    </w:rPr>
  </w:style>
  <w:style w:type="paragraph" w:customStyle="1" w:styleId="TableHeading">
    <w:name w:val="Table Heading"/>
    <w:basedOn w:val="HeadingBase"/>
    <w:rsid w:val="00AA6C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6C7A"/>
    <w:rPr>
      <w:color w:val="0033CC"/>
      <w:u w:val="none"/>
    </w:rPr>
  </w:style>
  <w:style w:type="paragraph" w:customStyle="1" w:styleId="BodyTextRight">
    <w:name w:val="Body Text Right"/>
    <w:basedOn w:val="BodyText"/>
    <w:rsid w:val="00AA6C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6C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6C7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6C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6C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6C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6C7A"/>
    <w:rPr>
      <w:sz w:val="32"/>
    </w:rPr>
  </w:style>
  <w:style w:type="paragraph" w:customStyle="1" w:styleId="HeadingProcedure">
    <w:name w:val="Heading Procedure"/>
    <w:basedOn w:val="HeadingBase"/>
    <w:next w:val="Normal"/>
    <w:rsid w:val="00AA6C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6C7A"/>
    <w:pPr>
      <w:spacing w:before="60" w:after="60"/>
    </w:pPr>
  </w:style>
  <w:style w:type="paragraph" w:styleId="ListContinue">
    <w:name w:val="List Continue"/>
    <w:basedOn w:val="List"/>
    <w:rsid w:val="00AA6C7A"/>
    <w:pPr>
      <w:ind w:firstLine="0"/>
    </w:pPr>
  </w:style>
  <w:style w:type="paragraph" w:customStyle="1" w:styleId="ListNote">
    <w:name w:val="List Note"/>
    <w:basedOn w:val="List"/>
    <w:rsid w:val="00AA6C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6C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6C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6C7A"/>
    <w:rPr>
      <w:rFonts w:ascii="Courier New" w:hAnsi="Courier New"/>
    </w:rPr>
  </w:style>
  <w:style w:type="paragraph" w:customStyle="1" w:styleId="NoteBullet">
    <w:name w:val="Note Bullet"/>
    <w:basedOn w:val="Note"/>
    <w:rsid w:val="00AA6C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6C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6C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6C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6C7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A6C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6C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6C7A"/>
    <w:rPr>
      <w:b/>
      <w:smallCaps/>
    </w:rPr>
  </w:style>
  <w:style w:type="paragraph" w:customStyle="1" w:styleId="TableListNumber">
    <w:name w:val="Table List Number"/>
    <w:basedOn w:val="ListNumber"/>
    <w:rsid w:val="00AA6C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6C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6C7A"/>
    <w:pPr>
      <w:numPr>
        <w:numId w:val="8"/>
      </w:numPr>
    </w:pPr>
  </w:style>
  <w:style w:type="paragraph" w:customStyle="1" w:styleId="ListAlpha2">
    <w:name w:val="List Alpha 2"/>
    <w:basedOn w:val="List2"/>
    <w:rsid w:val="00AA6C7A"/>
    <w:pPr>
      <w:numPr>
        <w:numId w:val="7"/>
      </w:numPr>
    </w:pPr>
  </w:style>
  <w:style w:type="paragraph" w:styleId="List2">
    <w:name w:val="List 2"/>
    <w:basedOn w:val="BodyText"/>
    <w:rsid w:val="00AA6C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6C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6C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6C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6C7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6C7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A6C7A"/>
    <w:pPr>
      <w:numPr>
        <w:numId w:val="3"/>
      </w:numPr>
    </w:pPr>
  </w:style>
  <w:style w:type="paragraph" w:styleId="ListContinue2">
    <w:name w:val="List Continue 2"/>
    <w:basedOn w:val="List2"/>
    <w:rsid w:val="00AA6C7A"/>
    <w:pPr>
      <w:ind w:firstLine="0"/>
    </w:pPr>
  </w:style>
  <w:style w:type="paragraph" w:styleId="ListContinue3">
    <w:name w:val="List Continue 3"/>
    <w:basedOn w:val="List3"/>
    <w:rsid w:val="00AA6C7A"/>
    <w:pPr>
      <w:ind w:left="1021" w:firstLine="0"/>
    </w:pPr>
  </w:style>
  <w:style w:type="paragraph" w:styleId="ListContinue4">
    <w:name w:val="List Continue 4"/>
    <w:basedOn w:val="List4"/>
    <w:rsid w:val="00AA6C7A"/>
    <w:pPr>
      <w:ind w:firstLine="0"/>
    </w:pPr>
  </w:style>
  <w:style w:type="paragraph" w:styleId="ListContinue5">
    <w:name w:val="List Continue 5"/>
    <w:basedOn w:val="List5"/>
    <w:rsid w:val="00AA6C7A"/>
    <w:pPr>
      <w:ind w:firstLine="0"/>
    </w:pPr>
  </w:style>
  <w:style w:type="paragraph" w:styleId="ListNumber3">
    <w:name w:val="List Number 3"/>
    <w:basedOn w:val="List3"/>
    <w:rsid w:val="00AA6C7A"/>
    <w:pPr>
      <w:numPr>
        <w:numId w:val="4"/>
      </w:numPr>
    </w:pPr>
  </w:style>
  <w:style w:type="paragraph" w:styleId="ListNumber4">
    <w:name w:val="List Number 4"/>
    <w:basedOn w:val="List4"/>
    <w:rsid w:val="00AA6C7A"/>
    <w:pPr>
      <w:numPr>
        <w:numId w:val="5"/>
      </w:numPr>
    </w:pPr>
  </w:style>
  <w:style w:type="paragraph" w:styleId="ListNumber5">
    <w:name w:val="List Number 5"/>
    <w:basedOn w:val="List5"/>
    <w:rsid w:val="00AA6C7A"/>
    <w:pPr>
      <w:numPr>
        <w:numId w:val="6"/>
      </w:numPr>
    </w:pPr>
  </w:style>
  <w:style w:type="paragraph" w:styleId="BlockText">
    <w:name w:val="Block Text"/>
    <w:basedOn w:val="Normal"/>
    <w:rsid w:val="00AA6C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6C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6C7A"/>
    <w:rPr>
      <w:sz w:val="16"/>
      <w:vertAlign w:val="superscript"/>
    </w:rPr>
  </w:style>
  <w:style w:type="character" w:customStyle="1" w:styleId="Symbols">
    <w:name w:val="Symbols"/>
    <w:basedOn w:val="DefaultParagraphFont"/>
    <w:rsid w:val="00AA6C7A"/>
    <w:rPr>
      <w:rFonts w:ascii="Symbol" w:hAnsi="Symbol"/>
    </w:rPr>
  </w:style>
  <w:style w:type="character" w:customStyle="1" w:styleId="MenuOptions">
    <w:name w:val="Menu Options"/>
    <w:basedOn w:val="DefaultParagraphFont"/>
    <w:rsid w:val="00AA6C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6C7A"/>
    <w:rPr>
      <w:b/>
    </w:rPr>
  </w:style>
  <w:style w:type="character" w:customStyle="1" w:styleId="Underlined">
    <w:name w:val="Underlined"/>
    <w:basedOn w:val="DefaultParagraphFont"/>
    <w:rsid w:val="00AA6C7A"/>
    <w:rPr>
      <w:u w:val="single"/>
    </w:rPr>
  </w:style>
  <w:style w:type="paragraph" w:customStyle="1" w:styleId="TableBodyTextRight">
    <w:name w:val="Table Body Text Right"/>
    <w:basedOn w:val="TableBodyText"/>
    <w:rsid w:val="00AA6C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6C7A"/>
    <w:rPr>
      <w:sz w:val="18"/>
    </w:rPr>
  </w:style>
  <w:style w:type="paragraph" w:customStyle="1" w:styleId="BodySmallRight">
    <w:name w:val="Body Small Right"/>
    <w:basedOn w:val="BodyTextRight"/>
    <w:rsid w:val="00AA6C7A"/>
    <w:rPr>
      <w:sz w:val="18"/>
      <w:szCs w:val="18"/>
    </w:rPr>
  </w:style>
  <w:style w:type="paragraph" w:customStyle="1" w:styleId="MarginEdition">
    <w:name w:val="Margin Edition"/>
    <w:basedOn w:val="MarginNote"/>
    <w:rsid w:val="00AA6C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6C7A"/>
    <w:rPr>
      <w:sz w:val="2"/>
      <w:szCs w:val="2"/>
    </w:rPr>
  </w:style>
  <w:style w:type="character" w:customStyle="1" w:styleId="Small">
    <w:name w:val="Small"/>
    <w:basedOn w:val="DefaultParagraphFont"/>
    <w:rsid w:val="00AA6C7A"/>
    <w:rPr>
      <w:sz w:val="16"/>
    </w:rPr>
  </w:style>
  <w:style w:type="paragraph" w:customStyle="1" w:styleId="WideTable">
    <w:name w:val="Wide Table"/>
    <w:basedOn w:val="Normal"/>
    <w:rsid w:val="00AA6C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6C7A"/>
  </w:style>
  <w:style w:type="paragraph" w:styleId="Quote">
    <w:name w:val="Quote"/>
    <w:basedOn w:val="Heading1"/>
    <w:link w:val="QuoteChar"/>
    <w:qFormat/>
    <w:rsid w:val="00AA6C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6C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6C7A"/>
    <w:pPr>
      <w:pageBreakBefore/>
    </w:pPr>
  </w:style>
  <w:style w:type="paragraph" w:customStyle="1" w:styleId="Border">
    <w:name w:val="Border"/>
    <w:basedOn w:val="Normal"/>
    <w:qFormat/>
    <w:rsid w:val="00AA6C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6C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6C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6C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6C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6C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6C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6C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6C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6C7A"/>
    <w:rPr>
      <w:u w:val="single"/>
    </w:rPr>
  </w:style>
  <w:style w:type="character" w:customStyle="1" w:styleId="BoldandItalics">
    <w:name w:val="Bold and Italics"/>
    <w:qFormat/>
    <w:rsid w:val="00AA6C7A"/>
    <w:rPr>
      <w:b/>
      <w:i/>
      <w:u w:val="none"/>
    </w:rPr>
  </w:style>
  <w:style w:type="paragraph" w:styleId="BalloonText">
    <w:name w:val="Balloon Text"/>
    <w:basedOn w:val="Normal"/>
    <w:link w:val="BalloonTextChar"/>
    <w:rsid w:val="00AA6C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6C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6C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6C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6C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6C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6C7A"/>
    <w:pPr>
      <w:spacing w:before="0" w:after="0"/>
    </w:pPr>
  </w:style>
  <w:style w:type="paragraph" w:customStyle="1" w:styleId="BodyTextBold">
    <w:name w:val="Body Text Bold"/>
    <w:basedOn w:val="BodyText"/>
    <w:qFormat/>
    <w:rsid w:val="00AA6C7A"/>
    <w:rPr>
      <w:b/>
    </w:rPr>
  </w:style>
  <w:style w:type="character" w:styleId="Hyperlink">
    <w:name w:val="Hyperlink"/>
    <w:basedOn w:val="DefaultParagraphFont"/>
    <w:uiPriority w:val="99"/>
    <w:unhideWhenUsed/>
    <w:rsid w:val="002F2B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525</Words>
  <Characters>3148</Characters>
  <Application>Microsoft Office Word</Application>
  <DocSecurity>0</DocSecurity>
  <Lines>112</Lines>
  <Paragraphs>78</Paragraphs>
  <ScaleCrop>false</ScaleCrop>
  <Company>Author-it Software Corporation Ltd.</Company>
  <LinksUpToDate>false</LinksUpToDate>
  <CharactersWithSpaces>3595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MEM48007 Monitor and test sands, cores and moulds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2023-02-03T06:47:00Z</dcterms:created>
  <dcterms:modified xsi:type="dcterms:W3CDTF">2023-02-03T06:47:00Z</dcterms:modified>
</cp:coreProperties>
</file>