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BC9" w:rsidP="00780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MEM48007 Monitor and test sands, cores and moulds</w:t>
      </w:r>
      <w:r>
        <w:fldChar w:fldCharType="end"/>
      </w:r>
    </w:p>
    <w:p w:rsidR="00780BC9" w:rsidP="00780BC9">
      <w:pPr>
        <w:pStyle w:val="Version"/>
        <w:sectPr w:rsidSect="00311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6B9" w:rsidP="003116B9">
      <w:pPr>
        <w:pStyle w:val="SuperHeading"/>
      </w:pPr>
      <w:r w:rsidRPr="003116B9">
        <w:t>Assessment Requirements for MEM48007 Monitor and test sands, cores and moulds</w:t>
      </w:r>
    </w:p>
    <w:p w:rsidR="00000000" w:rsidRPr="003116B9" w:rsidP="003116B9">
      <w:pPr>
        <w:pStyle w:val="Heading1"/>
      </w:pPr>
      <w:bookmarkStart w:id="1" w:name="O_949861"/>
      <w:bookmarkEnd w:id="1"/>
      <w:r w:rsidRPr="003116B9">
        <w:t>Modification History</w:t>
      </w:r>
    </w:p>
    <w:p w:rsidR="00780BC9" w:rsidP="00780BC9">
      <w:pPr>
        <w:pStyle w:val="BodyText"/>
      </w:pPr>
      <w:r w:rsidRPr="003116B9">
        <w:t>Release 1. Supersedes and is equivalent to MSATCM402A Monitor and test sands, cores and moulds.</w:t>
      </w:r>
    </w:p>
    <w:p w:rsidR="00000000" w:rsidRPr="003116B9" w:rsidP="003116B9">
      <w:pPr>
        <w:pStyle w:val="Heading1"/>
      </w:pPr>
      <w:bookmarkStart w:id="2" w:name="O_949864"/>
      <w:bookmarkEnd w:id="2"/>
      <w:r w:rsidRPr="003116B9">
        <w:t>Performance Evidence</w:t>
      </w:r>
    </w:p>
    <w:p w:rsidR="00000000" w:rsidRPr="003116B9" w:rsidP="00780BC9">
      <w:pPr>
        <w:pStyle w:val="BodyText"/>
      </w:pPr>
      <w:r w:rsidRPr="003116B9">
        <w:t>Evidence required to demonstrate competence in this unit must be relevant to and satisfy the requirements of the elements and performance criteria and include:</w:t>
      </w:r>
    </w:p>
    <w:p w:rsidR="00000000" w:rsidRPr="003116B9" w:rsidP="003116B9">
      <w:pPr>
        <w:pStyle w:val="ListBullet"/>
      </w:pPr>
      <w:r w:rsidRPr="003116B9">
        <w:t>following work instructions, standard operating procedures (SOPs) and safe work practices</w:t>
      </w:r>
    </w:p>
    <w:p w:rsidR="00000000" w:rsidRPr="003116B9" w:rsidP="003116B9">
      <w:pPr>
        <w:pStyle w:val="ListBullet"/>
      </w:pPr>
      <w:r w:rsidRPr="003116B9">
        <w:t>ident</w:t>
      </w:r>
      <w:r w:rsidRPr="003116B9">
        <w:t>ifying, assessing and controlling hazards in the sand mould and/or core making process</w:t>
      </w:r>
    </w:p>
    <w:p w:rsidR="00000000" w:rsidRPr="003116B9" w:rsidP="003116B9">
      <w:pPr>
        <w:pStyle w:val="ListBullet"/>
      </w:pPr>
      <w:r w:rsidRPr="003116B9">
        <w:t>taking samples in accordance with procedures on at least two occasions</w:t>
      </w:r>
    </w:p>
    <w:p w:rsidR="00000000" w:rsidRPr="003116B9" w:rsidP="003116B9">
      <w:pPr>
        <w:pStyle w:val="ListBullet"/>
      </w:pPr>
      <w:r w:rsidRPr="003116B9">
        <w:t>preparing standard samples</w:t>
      </w:r>
    </w:p>
    <w:p w:rsidR="00000000" w:rsidRPr="003116B9" w:rsidP="003116B9">
      <w:pPr>
        <w:pStyle w:val="ListBullet"/>
      </w:pPr>
      <w:r w:rsidRPr="003116B9">
        <w:t>using test equipment and evaluating test results on at least two occasi</w:t>
      </w:r>
      <w:r w:rsidRPr="003116B9">
        <w:t>ons</w:t>
      </w:r>
    </w:p>
    <w:p w:rsidR="00000000" w:rsidRPr="003116B9" w:rsidP="003116B9">
      <w:pPr>
        <w:pStyle w:val="ListBullet"/>
      </w:pPr>
      <w:r w:rsidRPr="003116B9">
        <w:t>using and calibrating mixing machines</w:t>
      </w:r>
    </w:p>
    <w:p w:rsidR="00000000" w:rsidRPr="003116B9" w:rsidP="003116B9">
      <w:pPr>
        <w:pStyle w:val="ListBullet"/>
      </w:pPr>
      <w:r w:rsidRPr="003116B9">
        <w:t>examining casting for sand-related defects, determining the cause and recommending improvements to sand type and/or preparation on at least two occasions</w:t>
      </w:r>
    </w:p>
    <w:p w:rsidR="00000000" w:rsidRPr="003116B9" w:rsidP="003116B9">
      <w:pPr>
        <w:pStyle w:val="ListBullet"/>
      </w:pPr>
      <w:r w:rsidRPr="003116B9">
        <w:t>identifying and preparing reports to meet requirements</w:t>
      </w:r>
    </w:p>
    <w:p w:rsidR="00000000" w:rsidRPr="003116B9" w:rsidP="003116B9">
      <w:pPr>
        <w:pStyle w:val="ListBullet"/>
      </w:pPr>
      <w:r w:rsidRPr="003116B9">
        <w:t>circu</w:t>
      </w:r>
      <w:r w:rsidRPr="003116B9">
        <w:t>lating and filing completed report in accordance with procedures.</w:t>
      </w:r>
    </w:p>
    <w:p w:rsidR="00000000" w:rsidRPr="00780BC9" w:rsidP="00780BC9">
      <w:pPr>
        <w:pStyle w:val="BodyText"/>
        <w:rPr>
          <w:i/>
        </w:rPr>
      </w:pPr>
      <w:r w:rsidRPr="00780BC9">
        <w:rPr>
          <w:rStyle w:val="Emphasis"/>
        </w:rPr>
        <w:t>Note: Where a volume and/or frequency is not specified, demonstration must be provided at least once.</w:t>
      </w:r>
    </w:p>
    <w:p w:rsidR="00000000" w:rsidRPr="003116B9" w:rsidP="003116B9">
      <w:pPr>
        <w:pStyle w:val="Heading1"/>
      </w:pPr>
      <w:bookmarkStart w:id="3" w:name="O_949863"/>
      <w:bookmarkEnd w:id="3"/>
      <w:r w:rsidRPr="003116B9">
        <w:t>Knowledge Evidence</w:t>
      </w:r>
    </w:p>
    <w:p w:rsidR="00000000" w:rsidRPr="003116B9" w:rsidP="00780BC9">
      <w:pPr>
        <w:pStyle w:val="BodyText"/>
      </w:pPr>
      <w:r w:rsidRPr="003116B9">
        <w:t>Evidence required to demonstrate the required knowle</w:t>
      </w:r>
      <w:r w:rsidRPr="003116B9">
        <w:t>dge for this unit must be relevant to and satisfy the requirements of the elements and performance criteria and include knowledge of:</w:t>
      </w:r>
    </w:p>
    <w:p w:rsidR="00000000" w:rsidRPr="003116B9" w:rsidP="003116B9">
      <w:pPr>
        <w:pStyle w:val="ListBullet"/>
      </w:pPr>
      <w:r w:rsidRPr="003116B9">
        <w:t>safe work practices and procedures and use of personal protective equipment (PPE)</w:t>
      </w:r>
    </w:p>
    <w:p w:rsidR="00000000" w:rsidRPr="003116B9" w:rsidP="003116B9">
      <w:pPr>
        <w:pStyle w:val="ListBullet"/>
      </w:pPr>
      <w:r w:rsidRPr="003116B9">
        <w:t>sources of sands and their characterist</w:t>
      </w:r>
      <w:r w:rsidRPr="003116B9">
        <w:t>ics</w:t>
      </w:r>
    </w:p>
    <w:p w:rsidR="00000000" w:rsidRPr="003116B9" w:rsidP="003116B9">
      <w:pPr>
        <w:pStyle w:val="ListBullet"/>
      </w:pPr>
      <w:r w:rsidRPr="003116B9">
        <w:t>green sand, resin and silicate bond and shell moulds</w:t>
      </w:r>
    </w:p>
    <w:p w:rsidR="00000000" w:rsidRPr="003116B9" w:rsidP="003116B9">
      <w:pPr>
        <w:pStyle w:val="ListBullet"/>
      </w:pPr>
      <w:r w:rsidRPr="003116B9">
        <w:t>relationship of moulding sand properties and characteristics to casting defects including expansion, scabbing, rat-tails and hardness</w:t>
      </w:r>
    </w:p>
    <w:p w:rsidR="00000000" w:rsidRPr="003116B9" w:rsidP="003116B9">
      <w:pPr>
        <w:pStyle w:val="ListBullet"/>
      </w:pPr>
      <w:r w:rsidRPr="003116B9">
        <w:t>sand grain shape and distribution, permeability, gas evolution and blow holes</w:t>
      </w:r>
    </w:p>
    <w:p w:rsidR="00000000" w:rsidRPr="003116B9" w:rsidP="003116B9">
      <w:pPr>
        <w:pStyle w:val="ListBullet"/>
      </w:pPr>
      <w:r w:rsidRPr="003116B9">
        <w:t>mould properties, green strength and shatter</w:t>
      </w:r>
    </w:p>
    <w:p w:rsidR="00000000" w:rsidRPr="003116B9" w:rsidP="003116B9">
      <w:pPr>
        <w:pStyle w:val="ListBullet"/>
      </w:pPr>
      <w:r w:rsidRPr="003116B9">
        <w:t>refractoriness and mould dilation</w:t>
      </w:r>
    </w:p>
    <w:p w:rsidR="00000000" w:rsidRPr="003116B9" w:rsidP="003116B9">
      <w:pPr>
        <w:pStyle w:val="ListBullet"/>
      </w:pPr>
      <w:r w:rsidRPr="003116B9">
        <w:t>definition of clay-bonded sand</w:t>
      </w:r>
    </w:p>
    <w:p w:rsidR="00000000" w:rsidRPr="003116B9" w:rsidP="003116B9">
      <w:pPr>
        <w:pStyle w:val="ListBullet"/>
      </w:pPr>
      <w:r w:rsidRPr="003116B9">
        <w:t>sand defects</w:t>
      </w:r>
    </w:p>
    <w:p w:rsidR="00000000" w:rsidRPr="003116B9" w:rsidP="003116B9">
      <w:pPr>
        <w:pStyle w:val="ListBullet"/>
      </w:pPr>
      <w:r w:rsidRPr="003116B9">
        <w:t>testing clay bonded sand including:</w:t>
      </w:r>
    </w:p>
    <w:p w:rsidR="00000000" w:rsidRPr="003116B9" w:rsidP="003116B9">
      <w:pPr>
        <w:pStyle w:val="ListBullet2"/>
      </w:pPr>
      <w:r w:rsidRPr="003116B9">
        <w:t>American Foundry S</w:t>
      </w:r>
      <w:r w:rsidRPr="003116B9">
        <w:t>tandard (AFS) compression sample</w:t>
      </w:r>
    </w:p>
    <w:p w:rsidR="00000000" w:rsidRPr="003116B9" w:rsidP="003116B9">
      <w:pPr>
        <w:pStyle w:val="ListBullet2"/>
      </w:pPr>
      <w:r w:rsidRPr="003116B9">
        <w:t>moisture and clay content</w:t>
      </w:r>
    </w:p>
    <w:p w:rsidR="00000000" w:rsidRPr="003116B9" w:rsidP="003116B9">
      <w:pPr>
        <w:pStyle w:val="ListBullet2"/>
      </w:pPr>
      <w:r w:rsidRPr="003116B9">
        <w:t>green compression and permeability</w:t>
      </w:r>
    </w:p>
    <w:p w:rsidR="00000000" w:rsidRPr="003116B9" w:rsidP="003116B9">
      <w:pPr>
        <w:pStyle w:val="ListBullet2"/>
      </w:pPr>
      <w:r w:rsidRPr="003116B9">
        <w:t>mould hardness</w:t>
      </w:r>
    </w:p>
    <w:p w:rsidR="00000000" w:rsidRPr="003116B9" w:rsidP="003116B9">
      <w:pPr>
        <w:pStyle w:val="ListBullet2"/>
      </w:pPr>
      <w:r w:rsidRPr="003116B9">
        <w:t>shatter index</w:t>
      </w:r>
    </w:p>
    <w:p w:rsidR="00000000" w:rsidRPr="003116B9" w:rsidP="003116B9">
      <w:pPr>
        <w:pStyle w:val="ListBullet2"/>
      </w:pPr>
      <w:r w:rsidRPr="003116B9">
        <w:t>sieve analysis</w:t>
      </w:r>
    </w:p>
    <w:p w:rsidR="00000000" w:rsidRPr="003116B9" w:rsidP="003116B9">
      <w:pPr>
        <w:pStyle w:val="ListBullet2"/>
      </w:pPr>
      <w:r w:rsidRPr="003116B9">
        <w:t>loss of ignition (LOI)</w:t>
      </w:r>
    </w:p>
    <w:p w:rsidR="00000000" w:rsidRPr="003116B9" w:rsidP="003116B9">
      <w:pPr>
        <w:pStyle w:val="ListBullet2"/>
      </w:pPr>
      <w:r w:rsidRPr="003116B9">
        <w:t>AFS fineness number</w:t>
      </w:r>
    </w:p>
    <w:p w:rsidR="00000000" w:rsidRPr="003116B9" w:rsidP="003116B9">
      <w:pPr>
        <w:pStyle w:val="ListBullet"/>
      </w:pPr>
      <w:r w:rsidRPr="003116B9">
        <w:t>organic and inorganic bonded and core sands including:</w:t>
      </w:r>
    </w:p>
    <w:p w:rsidR="00000000" w:rsidRPr="003116B9" w:rsidP="003116B9">
      <w:pPr>
        <w:pStyle w:val="ListBullet2"/>
      </w:pPr>
      <w:r w:rsidRPr="003116B9">
        <w:t>drying oils including stoving and characteristics</w:t>
      </w:r>
    </w:p>
    <w:p w:rsidR="00000000" w:rsidRPr="003116B9" w:rsidP="003116B9">
      <w:pPr>
        <w:pStyle w:val="ListBullet2"/>
      </w:pPr>
      <w:r w:rsidRPr="003116B9">
        <w:t>cold setting oils and characteristics</w:t>
      </w:r>
    </w:p>
    <w:p w:rsidR="00000000" w:rsidRPr="003116B9" w:rsidP="003116B9">
      <w:pPr>
        <w:pStyle w:val="ListBullet2"/>
      </w:pPr>
      <w:r w:rsidRPr="003116B9">
        <w:t>synthetic resins, characteristics and applications</w:t>
      </w:r>
    </w:p>
    <w:p w:rsidR="00000000" w:rsidRPr="003116B9" w:rsidP="003116B9">
      <w:pPr>
        <w:pStyle w:val="ListBullet2"/>
      </w:pPr>
      <w:r w:rsidRPr="003116B9">
        <w:t>shell moulding</w:t>
      </w:r>
    </w:p>
    <w:p w:rsidR="00000000" w:rsidRPr="003116B9" w:rsidP="003116B9">
      <w:pPr>
        <w:pStyle w:val="ListBullet2"/>
      </w:pPr>
      <w:r w:rsidRPr="003116B9">
        <w:t>sodium silicate binders and characteristics</w:t>
      </w:r>
    </w:p>
    <w:p w:rsidR="00000000" w:rsidRPr="003116B9" w:rsidP="003116B9">
      <w:pPr>
        <w:pStyle w:val="ListBullet2"/>
      </w:pPr>
      <w:r w:rsidRPr="003116B9">
        <w:t>phenolic urethanes</w:t>
      </w:r>
    </w:p>
    <w:p w:rsidR="00000000" w:rsidRPr="003116B9" w:rsidP="003116B9">
      <w:pPr>
        <w:pStyle w:val="ListBullet2"/>
      </w:pPr>
      <w:r w:rsidRPr="003116B9">
        <w:t>furfuryl alcohol</w:t>
      </w:r>
    </w:p>
    <w:p w:rsidR="00000000" w:rsidRPr="003116B9" w:rsidP="003116B9">
      <w:pPr>
        <w:pStyle w:val="ListBullet2"/>
      </w:pPr>
      <w:r w:rsidRPr="003116B9">
        <w:t>phenolic esters</w:t>
      </w:r>
    </w:p>
    <w:p w:rsidR="00000000" w:rsidRPr="003116B9" w:rsidP="003116B9">
      <w:pPr>
        <w:pStyle w:val="ListBullet2"/>
      </w:pPr>
      <w:r w:rsidRPr="003116B9">
        <w:t>alkali</w:t>
      </w:r>
      <w:r w:rsidRPr="003116B9">
        <w:t>ne phenolics</w:t>
      </w:r>
    </w:p>
    <w:p w:rsidR="00000000" w:rsidRPr="003116B9" w:rsidP="003116B9">
      <w:pPr>
        <w:pStyle w:val="ListBullet2"/>
      </w:pPr>
      <w:r w:rsidRPr="003116B9">
        <w:t>testing hardened sands including tensile</w:t>
      </w:r>
    </w:p>
    <w:p w:rsidR="00000000" w:rsidRPr="003116B9" w:rsidP="003116B9">
      <w:pPr>
        <w:pStyle w:val="ListBullet2"/>
      </w:pPr>
      <w:r w:rsidRPr="003116B9">
        <w:t>compression hardness</w:t>
      </w:r>
    </w:p>
    <w:p w:rsidR="00000000" w:rsidRPr="003116B9" w:rsidP="003116B9">
      <w:pPr>
        <w:pStyle w:val="ListBullet2"/>
      </w:pPr>
      <w:r w:rsidRPr="003116B9">
        <w:t>choice of binder.</w:t>
      </w:r>
    </w:p>
    <w:p w:rsidR="00000000" w:rsidRPr="003116B9" w:rsidP="003116B9">
      <w:pPr>
        <w:pStyle w:val="AllowPageBreak"/>
      </w:pPr>
    </w:p>
    <w:p w:rsidR="00000000" w:rsidRPr="003116B9" w:rsidP="003116B9">
      <w:pPr>
        <w:pStyle w:val="Heading1"/>
      </w:pPr>
      <w:bookmarkStart w:id="4" w:name="O_949862"/>
      <w:bookmarkEnd w:id="4"/>
      <w:r w:rsidRPr="003116B9">
        <w:t>Assessment Conditions</w:t>
      </w:r>
    </w:p>
    <w:p w:rsidR="00000000" w:rsidRPr="003116B9" w:rsidP="003116B9">
      <w:pPr>
        <w:pStyle w:val="ListBullet"/>
      </w:pPr>
      <w:r w:rsidRPr="003116B9">
        <w:t>Assessors must:</w:t>
      </w:r>
    </w:p>
    <w:p w:rsidR="00000000" w:rsidRPr="003116B9" w:rsidP="003116B9">
      <w:pPr>
        <w:pStyle w:val="ListBullet2"/>
      </w:pPr>
      <w:r w:rsidRPr="003116B9">
        <w:t xml:space="preserve">have vocational competency in monitoring and testing sands, cores and moulds at least to the level </w:t>
      </w:r>
      <w:r w:rsidRPr="003116B9">
        <w:t>being assessed with relevant industry knowledge and experience</w:t>
      </w:r>
    </w:p>
    <w:p w:rsidR="00000000" w:rsidRPr="003116B9" w:rsidP="003116B9">
      <w:pPr>
        <w:pStyle w:val="ListBullet2"/>
      </w:pPr>
      <w:r w:rsidRPr="003116B9">
        <w:t xml:space="preserve">satisfy the assessor requirements in the </w:t>
      </w:r>
      <w:r w:rsidRPr="003116B9">
        <w:rPr>
          <w:rStyle w:val="Emphasis"/>
        </w:rPr>
        <w:t xml:space="preserve">Standards for Registered Training Organisations 2015 </w:t>
      </w:r>
      <w:r w:rsidRPr="003116B9">
        <w:t>or its replacement</w:t>
      </w:r>
      <w:r w:rsidRPr="003116B9">
        <w:rPr>
          <w:rStyle w:val="Emphasis"/>
        </w:rPr>
        <w:t xml:space="preserve"> </w:t>
      </w:r>
      <w:r w:rsidRPr="003116B9">
        <w:t xml:space="preserve">and comply with the </w:t>
      </w:r>
      <w:r w:rsidRPr="003116B9">
        <w:rPr>
          <w:rStyle w:val="Emphasis"/>
        </w:rPr>
        <w:t>National Vocational Education and Training Regulator Act 201</w:t>
      </w:r>
      <w:r w:rsidRPr="003116B9">
        <w:rPr>
          <w:rStyle w:val="Emphasis"/>
        </w:rPr>
        <w:t xml:space="preserve">1, </w:t>
      </w:r>
      <w:r w:rsidRPr="003116B9">
        <w:t>its replacement</w:t>
      </w:r>
      <w:r w:rsidRPr="003116B9">
        <w:rPr>
          <w:rStyle w:val="Emphasis"/>
        </w:rPr>
        <w:t xml:space="preserve"> </w:t>
      </w:r>
      <w:r w:rsidRPr="003116B9">
        <w:t>or equivalent legislation covering VET regulation in a non-referring state/territory as the case requires.</w:t>
      </w:r>
    </w:p>
    <w:p w:rsidR="00000000" w:rsidRPr="003116B9" w:rsidP="003116B9">
      <w:pPr>
        <w:pStyle w:val="ListBullet"/>
      </w:pPr>
      <w:r w:rsidRPr="003116B9">
        <w:t>Where possible, assessment must occur in operational workplace situations. Where this is not possible or where personal safety or</w:t>
      </w:r>
      <w:r w:rsidRPr="003116B9">
        <w:t xml:space="preserve"> environmental damage are limiting factors, assessment must occur in a sufficiently rigorous simulated environment that reflects realistic operational workplace conditions that cover all aspects of workplace performance, including environment, task skills,</w:t>
      </w:r>
      <w:r w:rsidRPr="003116B9">
        <w:t xml:space="preserve"> task management skills, contingency management skills and job role environment skills.</w:t>
      </w:r>
    </w:p>
    <w:p w:rsidR="00000000" w:rsidRPr="003116B9" w:rsidP="003116B9">
      <w:pPr>
        <w:pStyle w:val="ListBullet"/>
      </w:pPr>
      <w:r w:rsidRPr="003116B9">
        <w:t>Conditions for assessment must include access to all tools, equipment, materials and documentation required including relevant workplace procedures, product and manufac</w:t>
      </w:r>
      <w:r w:rsidRPr="003116B9">
        <w:t>turing specifications.</w:t>
      </w:r>
    </w:p>
    <w:p w:rsidR="00000000" w:rsidRPr="003116B9" w:rsidP="003116B9">
      <w:pPr>
        <w:pStyle w:val="ListBullet"/>
      </w:pPr>
      <w:r w:rsidRPr="003116B9">
        <w:t>Assessment processes and techniques must be appropriate to the language, literacy and numeracy requirements of the work being performed and the needs of the candidate.</w:t>
      </w:r>
    </w:p>
    <w:p w:rsidR="00000000" w:rsidRPr="003116B9" w:rsidP="003116B9">
      <w:pPr>
        <w:pStyle w:val="AllowPageBreak"/>
      </w:pPr>
    </w:p>
    <w:p w:rsidR="00000000" w:rsidRPr="003116B9" w:rsidP="003116B9">
      <w:pPr>
        <w:pStyle w:val="Heading1"/>
      </w:pPr>
      <w:bookmarkStart w:id="5" w:name="O_949860"/>
      <w:bookmarkEnd w:id="5"/>
      <w:r w:rsidRPr="003116B9">
        <w:t>Links</w:t>
      </w:r>
    </w:p>
    <w:p w:rsidR="00000000" w:rsidRPr="003116B9" w:rsidP="00780BC9">
      <w:pPr>
        <w:pStyle w:val="BodyText"/>
      </w:pPr>
      <w:r w:rsidRPr="003116B9">
        <w:t>Companion Volume implementation guides are</w:t>
      </w:r>
      <w:r w:rsidRPr="003116B9">
        <w:t xml:space="preserve">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873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116B9" w:rsidP="003116B9"/>
    <w:sectPr w:rsidSect="003116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B9" w:rsidRPr="00780BC9" w:rsidP="00780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C9" w:rsidP="00311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BC9" w:rsidP="00311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80BC9" w:rsidP="00311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6B9" w:rsidRPr="00780BC9" w:rsidP="00780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BC9" w:rsidRPr="002D2AF8" w:rsidP="00311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MEM48007 Monitor and test sands, cores and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80BC9" w:rsidP="00311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DC5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8F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E1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6B9"/>
  </w:style>
  <w:style w:type="character" w:customStyle="1" w:styleId="Heading1Char">
    <w:name w:val="Heading 1 Char"/>
    <w:basedOn w:val="DefaultParagraphFont"/>
    <w:link w:val="Heading1"/>
    <w:rsid w:val="00311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6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16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16B9"/>
    <w:rPr>
      <w:i/>
    </w:rPr>
  </w:style>
  <w:style w:type="paragraph" w:customStyle="1" w:styleId="SuperHeading">
    <w:name w:val="SuperHeading"/>
    <w:basedOn w:val="Normal"/>
    <w:rsid w:val="00311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6B9"/>
    <w:rPr>
      <w:b/>
      <w:spacing w:val="0"/>
    </w:rPr>
  </w:style>
  <w:style w:type="paragraph" w:customStyle="1" w:styleId="SuperTitle">
    <w:name w:val="SuperTitle"/>
    <w:basedOn w:val="Title"/>
    <w:rsid w:val="00311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6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6B9"/>
  </w:style>
  <w:style w:type="paragraph" w:styleId="TableofFigures">
    <w:name w:val="table of figures"/>
    <w:basedOn w:val="Normal"/>
    <w:next w:val="Normal"/>
    <w:semiHidden/>
    <w:rsid w:val="00311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6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6B9"/>
    <w:rPr>
      <w:rFonts w:ascii="Wingdings" w:hAnsi="Wingdings"/>
    </w:rPr>
  </w:style>
  <w:style w:type="paragraph" w:customStyle="1" w:styleId="TableHeading">
    <w:name w:val="Table Heading"/>
    <w:basedOn w:val="HeadingBase"/>
    <w:rsid w:val="00311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6B9"/>
    <w:rPr>
      <w:color w:val="0033CC"/>
      <w:u w:val="none"/>
    </w:rPr>
  </w:style>
  <w:style w:type="paragraph" w:customStyle="1" w:styleId="BodyTextRight">
    <w:name w:val="Body Text Right"/>
    <w:basedOn w:val="BodyText"/>
    <w:rsid w:val="00311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6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6B9"/>
    <w:rPr>
      <w:sz w:val="32"/>
    </w:rPr>
  </w:style>
  <w:style w:type="paragraph" w:customStyle="1" w:styleId="HeadingProcedure">
    <w:name w:val="Heading Procedure"/>
    <w:basedOn w:val="HeadingBase"/>
    <w:next w:val="Normal"/>
    <w:rsid w:val="00311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6B9"/>
    <w:pPr>
      <w:spacing w:before="60" w:after="60"/>
    </w:pPr>
  </w:style>
  <w:style w:type="paragraph" w:styleId="ListContinue">
    <w:name w:val="List Continue"/>
    <w:basedOn w:val="List"/>
    <w:rsid w:val="003116B9"/>
    <w:pPr>
      <w:ind w:firstLine="0"/>
    </w:pPr>
  </w:style>
  <w:style w:type="paragraph" w:customStyle="1" w:styleId="ListNote">
    <w:name w:val="List Note"/>
    <w:basedOn w:val="List"/>
    <w:rsid w:val="00311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6B9"/>
    <w:rPr>
      <w:rFonts w:ascii="Courier New" w:hAnsi="Courier New"/>
    </w:rPr>
  </w:style>
  <w:style w:type="paragraph" w:customStyle="1" w:styleId="NoteBullet">
    <w:name w:val="Note Bullet"/>
    <w:basedOn w:val="Note"/>
    <w:rsid w:val="00311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6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6B9"/>
    <w:rPr>
      <w:b/>
      <w:smallCaps/>
    </w:rPr>
  </w:style>
  <w:style w:type="paragraph" w:customStyle="1" w:styleId="TableListNumber">
    <w:name w:val="Table List Number"/>
    <w:basedOn w:val="ListNumber"/>
    <w:rsid w:val="00311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6B9"/>
    <w:pPr>
      <w:numPr>
        <w:numId w:val="9"/>
      </w:numPr>
    </w:pPr>
  </w:style>
  <w:style w:type="paragraph" w:customStyle="1" w:styleId="ListAlpha2">
    <w:name w:val="List Alpha 2"/>
    <w:basedOn w:val="List2"/>
    <w:rsid w:val="003116B9"/>
    <w:pPr>
      <w:numPr>
        <w:numId w:val="8"/>
      </w:numPr>
    </w:pPr>
  </w:style>
  <w:style w:type="paragraph" w:styleId="List2">
    <w:name w:val="List 2"/>
    <w:basedOn w:val="BodyText"/>
    <w:rsid w:val="00311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6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6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6B9"/>
    <w:pPr>
      <w:numPr>
        <w:numId w:val="4"/>
      </w:numPr>
    </w:pPr>
  </w:style>
  <w:style w:type="paragraph" w:styleId="ListContinue2">
    <w:name w:val="List Continue 2"/>
    <w:basedOn w:val="List2"/>
    <w:rsid w:val="003116B9"/>
    <w:pPr>
      <w:ind w:firstLine="0"/>
    </w:pPr>
  </w:style>
  <w:style w:type="paragraph" w:styleId="ListContinue3">
    <w:name w:val="List Continue 3"/>
    <w:basedOn w:val="List3"/>
    <w:rsid w:val="003116B9"/>
    <w:pPr>
      <w:ind w:left="1021" w:firstLine="0"/>
    </w:pPr>
  </w:style>
  <w:style w:type="paragraph" w:styleId="ListContinue4">
    <w:name w:val="List Continue 4"/>
    <w:basedOn w:val="List4"/>
    <w:rsid w:val="003116B9"/>
    <w:pPr>
      <w:ind w:firstLine="0"/>
    </w:pPr>
  </w:style>
  <w:style w:type="paragraph" w:styleId="ListContinue5">
    <w:name w:val="List Continue 5"/>
    <w:basedOn w:val="List5"/>
    <w:rsid w:val="003116B9"/>
    <w:pPr>
      <w:ind w:firstLine="0"/>
    </w:pPr>
  </w:style>
  <w:style w:type="paragraph" w:styleId="ListNumber3">
    <w:name w:val="List Number 3"/>
    <w:basedOn w:val="List3"/>
    <w:rsid w:val="003116B9"/>
    <w:pPr>
      <w:numPr>
        <w:numId w:val="5"/>
      </w:numPr>
    </w:pPr>
  </w:style>
  <w:style w:type="paragraph" w:styleId="ListNumber4">
    <w:name w:val="List Number 4"/>
    <w:basedOn w:val="List4"/>
    <w:rsid w:val="003116B9"/>
    <w:pPr>
      <w:numPr>
        <w:numId w:val="6"/>
      </w:numPr>
    </w:pPr>
  </w:style>
  <w:style w:type="paragraph" w:styleId="ListNumber5">
    <w:name w:val="List Number 5"/>
    <w:basedOn w:val="List5"/>
    <w:rsid w:val="003116B9"/>
    <w:pPr>
      <w:numPr>
        <w:numId w:val="7"/>
      </w:numPr>
    </w:pPr>
  </w:style>
  <w:style w:type="paragraph" w:styleId="BlockText">
    <w:name w:val="Block Text"/>
    <w:basedOn w:val="Normal"/>
    <w:rsid w:val="00311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6B9"/>
    <w:rPr>
      <w:sz w:val="16"/>
      <w:vertAlign w:val="superscript"/>
    </w:rPr>
  </w:style>
  <w:style w:type="character" w:customStyle="1" w:styleId="Symbols">
    <w:name w:val="Symbols"/>
    <w:basedOn w:val="DefaultParagraphFont"/>
    <w:rsid w:val="003116B9"/>
    <w:rPr>
      <w:rFonts w:ascii="Symbol" w:hAnsi="Symbol"/>
    </w:rPr>
  </w:style>
  <w:style w:type="character" w:customStyle="1" w:styleId="MenuOptions">
    <w:name w:val="Menu Options"/>
    <w:basedOn w:val="DefaultParagraphFont"/>
    <w:rsid w:val="00311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6B9"/>
    <w:rPr>
      <w:b/>
    </w:rPr>
  </w:style>
  <w:style w:type="character" w:customStyle="1" w:styleId="Underlined">
    <w:name w:val="Underlined"/>
    <w:basedOn w:val="DefaultParagraphFont"/>
    <w:rsid w:val="003116B9"/>
    <w:rPr>
      <w:u w:val="single"/>
    </w:rPr>
  </w:style>
  <w:style w:type="paragraph" w:customStyle="1" w:styleId="TableBodyTextRight">
    <w:name w:val="Table Body Text Right"/>
    <w:basedOn w:val="TableBodyText"/>
    <w:rsid w:val="00311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6B9"/>
    <w:rPr>
      <w:sz w:val="18"/>
    </w:rPr>
  </w:style>
  <w:style w:type="paragraph" w:customStyle="1" w:styleId="BodySmallRight">
    <w:name w:val="Body Small Right"/>
    <w:basedOn w:val="BodyTextRight"/>
    <w:rsid w:val="003116B9"/>
    <w:rPr>
      <w:sz w:val="18"/>
      <w:szCs w:val="18"/>
    </w:rPr>
  </w:style>
  <w:style w:type="paragraph" w:customStyle="1" w:styleId="MarginEdition">
    <w:name w:val="Margin Edition"/>
    <w:basedOn w:val="MarginNote"/>
    <w:rsid w:val="00311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6B9"/>
    <w:rPr>
      <w:sz w:val="2"/>
      <w:szCs w:val="2"/>
    </w:rPr>
  </w:style>
  <w:style w:type="character" w:customStyle="1" w:styleId="Small">
    <w:name w:val="Small"/>
    <w:basedOn w:val="DefaultParagraphFont"/>
    <w:rsid w:val="003116B9"/>
    <w:rPr>
      <w:sz w:val="16"/>
    </w:rPr>
  </w:style>
  <w:style w:type="paragraph" w:customStyle="1" w:styleId="WideTable">
    <w:name w:val="Wide Table"/>
    <w:basedOn w:val="Normal"/>
    <w:rsid w:val="00311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6B9"/>
  </w:style>
  <w:style w:type="paragraph" w:styleId="Quote">
    <w:name w:val="Quote"/>
    <w:basedOn w:val="Heading1"/>
    <w:link w:val="QuoteChar"/>
    <w:qFormat/>
    <w:rsid w:val="00311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6B9"/>
    <w:pPr>
      <w:pageBreakBefore/>
    </w:pPr>
  </w:style>
  <w:style w:type="paragraph" w:customStyle="1" w:styleId="Border">
    <w:name w:val="Border"/>
    <w:basedOn w:val="Normal"/>
    <w:qFormat/>
    <w:rsid w:val="00311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6B9"/>
    <w:rPr>
      <w:u w:val="single"/>
    </w:rPr>
  </w:style>
  <w:style w:type="character" w:customStyle="1" w:styleId="BoldandItalics">
    <w:name w:val="Bold and Italics"/>
    <w:qFormat/>
    <w:rsid w:val="003116B9"/>
    <w:rPr>
      <w:b/>
      <w:i/>
      <w:u w:val="none"/>
    </w:rPr>
  </w:style>
  <w:style w:type="paragraph" w:styleId="BalloonText">
    <w:name w:val="Balloon Text"/>
    <w:basedOn w:val="Normal"/>
    <w:link w:val="BalloonTextChar"/>
    <w:rsid w:val="00311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6B9"/>
    <w:pPr>
      <w:spacing w:before="0" w:after="0"/>
    </w:pPr>
  </w:style>
  <w:style w:type="paragraph" w:customStyle="1" w:styleId="BodyTextBold">
    <w:name w:val="Body Text Bold"/>
    <w:basedOn w:val="BodyText"/>
    <w:qFormat/>
    <w:rsid w:val="003116B9"/>
    <w:rPr>
      <w:b/>
    </w:rPr>
  </w:style>
  <w:style w:type="character" w:styleId="Hyperlink">
    <w:name w:val="Hyperlink"/>
    <w:basedOn w:val="DefaultParagraphFont"/>
    <w:uiPriority w:val="99"/>
    <w:unhideWhenUsed/>
    <w:rsid w:val="00780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3711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MEM48007 Monitor and test sands, cores and moulds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