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B7DCC" w:rsidP="008B7DC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MEM48005 Apply basic knowledge of casting operations</w:t>
      </w:r>
      <w:r>
        <w:fldChar w:fldCharType="end"/>
      </w:r>
    </w:p>
    <w:p w:rsidR="008B7DCC" w:rsidP="008B7DCC">
      <w:pPr>
        <w:pStyle w:val="Version"/>
        <w:sectPr w:rsidSect="00B8494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84940" w:rsidP="00B84940">
      <w:pPr>
        <w:pStyle w:val="SuperHeading"/>
      </w:pPr>
      <w:r w:rsidRPr="00B84940">
        <w:t>Assessment Requirements for MEM48005 Apply basic knowledge of casting operations</w:t>
      </w:r>
    </w:p>
    <w:p w:rsidR="00000000" w:rsidRPr="00B84940" w:rsidP="00B84940">
      <w:pPr>
        <w:pStyle w:val="Heading1"/>
      </w:pPr>
      <w:bookmarkStart w:id="1" w:name="O_949823"/>
      <w:bookmarkEnd w:id="1"/>
      <w:r w:rsidRPr="00B84940">
        <w:t>Modification History</w:t>
      </w:r>
    </w:p>
    <w:p w:rsidR="00000000" w:rsidRPr="00B84940" w:rsidP="008B7DCC">
      <w:pPr>
        <w:pStyle w:val="BodyText"/>
      </w:pPr>
      <w:r w:rsidRPr="00B84940">
        <w:t>Release 1. Supersedes and is equivalent to MSATCM305A Demonstrate basic knowledge of casting operations.</w:t>
      </w:r>
    </w:p>
    <w:p w:rsidR="00000000" w:rsidRPr="00B84940" w:rsidP="00B84940">
      <w:pPr>
        <w:pStyle w:val="Heading1"/>
      </w:pPr>
      <w:bookmarkStart w:id="2" w:name="O_949826"/>
      <w:bookmarkEnd w:id="2"/>
      <w:r w:rsidRPr="00B84940">
        <w:t>Performance Evidence</w:t>
      </w:r>
    </w:p>
    <w:p w:rsidR="00000000" w:rsidRPr="00B84940" w:rsidP="008B7DCC">
      <w:pPr>
        <w:pStyle w:val="BodyText"/>
      </w:pPr>
      <w:r w:rsidRPr="00B84940">
        <w:t>Evidence required to demonstrate competence in this unit must be relevant to and satisfy the requirements of the elements and performance criteria and include:</w:t>
      </w:r>
    </w:p>
    <w:p w:rsidR="00000000" w:rsidRPr="00B84940" w:rsidP="00B84940">
      <w:pPr>
        <w:pStyle w:val="ListBullet"/>
      </w:pPr>
      <w:r w:rsidRPr="00B84940">
        <w:t>following work instructions, standard operating procedures (SOPs) and safe</w:t>
      </w:r>
      <w:r w:rsidRPr="00B84940">
        <w:t xml:space="preserve"> work practices</w:t>
      </w:r>
    </w:p>
    <w:p w:rsidR="00000000" w:rsidRPr="00B84940" w:rsidP="00B84940">
      <w:pPr>
        <w:pStyle w:val="ListBullet"/>
      </w:pPr>
      <w:r w:rsidRPr="00B84940">
        <w:t xml:space="preserve">identifying and interpreting specifications, safety procedures and codes of practice and/or standards </w:t>
      </w:r>
    </w:p>
    <w:p w:rsidR="00000000" w:rsidRPr="00B84940" w:rsidP="00B84940">
      <w:pPr>
        <w:pStyle w:val="ListBullet"/>
      </w:pPr>
      <w:r w:rsidRPr="00B84940">
        <w:t>observing and monitoring product flow through a foundry for at least two metals or alloys</w:t>
      </w:r>
    </w:p>
    <w:p w:rsidR="00000000" w:rsidRPr="00B84940" w:rsidP="00B84940">
      <w:pPr>
        <w:pStyle w:val="ListBullet"/>
      </w:pPr>
      <w:r w:rsidRPr="00B84940">
        <w:t>identifying basic items of casting equipment</w:t>
      </w:r>
    </w:p>
    <w:p w:rsidR="00000000" w:rsidRPr="00B84940" w:rsidP="00B84940">
      <w:pPr>
        <w:pStyle w:val="ListBullet"/>
      </w:pPr>
      <w:r w:rsidRPr="00B84940">
        <w:t>an</w:t>
      </w:r>
      <w:r w:rsidRPr="00B84940">
        <w:t>alysing mould materials and casting processes on at least two occasions</w:t>
      </w:r>
    </w:p>
    <w:p w:rsidR="00000000" w:rsidRPr="00B84940" w:rsidP="00B84940">
      <w:pPr>
        <w:pStyle w:val="ListBullet"/>
      </w:pPr>
      <w:r w:rsidRPr="00B84940">
        <w:t>identifying casting defects</w:t>
      </w:r>
    </w:p>
    <w:p w:rsidR="00000000" w:rsidRPr="00B84940" w:rsidP="00B84940">
      <w:pPr>
        <w:pStyle w:val="ListBullet"/>
      </w:pPr>
      <w:r w:rsidRPr="00B84940">
        <w:t>identifying and controlling hazards.</w:t>
      </w:r>
    </w:p>
    <w:p w:rsidR="00000000" w:rsidRPr="008B7DCC" w:rsidP="008B7DCC">
      <w:pPr>
        <w:pStyle w:val="BodyText"/>
        <w:rPr>
          <w:i/>
        </w:rPr>
      </w:pPr>
      <w:r w:rsidRPr="008B7DCC">
        <w:rPr>
          <w:rStyle w:val="Emphasis"/>
        </w:rPr>
        <w:t>Note: Where a volume and/or frequency is not specified, demonstration must be provided at least once.</w:t>
      </w:r>
    </w:p>
    <w:p w:rsidR="00000000" w:rsidRPr="00B84940" w:rsidP="00B84940">
      <w:pPr>
        <w:pStyle w:val="Heading1"/>
      </w:pPr>
      <w:bookmarkStart w:id="3" w:name="O_949825"/>
      <w:bookmarkEnd w:id="3"/>
      <w:r w:rsidRPr="00B84940">
        <w:t>Knowledge Evidence</w:t>
      </w:r>
    </w:p>
    <w:p w:rsidR="00000000" w:rsidRPr="00B84940" w:rsidP="008B7DCC">
      <w:pPr>
        <w:pStyle w:val="BodyText"/>
      </w:pPr>
      <w:r w:rsidRPr="00B84940">
        <w:t>Evidence required to demonstrate the required knowledge for this unit must be relevant to and satisfy the requirements of the elements and performance criteria and include knowledge of:</w:t>
      </w:r>
    </w:p>
    <w:p w:rsidR="00000000" w:rsidRPr="00B84940" w:rsidP="00B84940">
      <w:pPr>
        <w:pStyle w:val="ListBullet"/>
      </w:pPr>
      <w:r w:rsidRPr="00B84940">
        <w:t>safe work practices and procedures</w:t>
      </w:r>
    </w:p>
    <w:p w:rsidR="00000000" w:rsidRPr="00B84940" w:rsidP="00B84940">
      <w:pPr>
        <w:pStyle w:val="ListBullet"/>
      </w:pPr>
      <w:r w:rsidRPr="00B84940">
        <w:t xml:space="preserve">classification </w:t>
      </w:r>
      <w:r w:rsidRPr="00B84940">
        <w:t>of casting processes including:</w:t>
      </w:r>
    </w:p>
    <w:p w:rsidR="00000000" w:rsidRPr="00B84940" w:rsidP="00B84940">
      <w:pPr>
        <w:pStyle w:val="ListBullet2"/>
      </w:pPr>
      <w:r w:rsidRPr="00B84940">
        <w:t>sand casting</w:t>
      </w:r>
    </w:p>
    <w:p w:rsidR="00000000" w:rsidRPr="00B84940" w:rsidP="00B84940">
      <w:pPr>
        <w:pStyle w:val="ListBullet2"/>
      </w:pPr>
      <w:r w:rsidRPr="00B84940">
        <w:t>investment casting</w:t>
      </w:r>
    </w:p>
    <w:p w:rsidR="00000000" w:rsidRPr="00B84940" w:rsidP="00B84940">
      <w:pPr>
        <w:pStyle w:val="ListBullet2"/>
      </w:pPr>
      <w:r w:rsidRPr="00B84940">
        <w:t>die casting</w:t>
      </w:r>
    </w:p>
    <w:p w:rsidR="00000000" w:rsidRPr="00B84940" w:rsidP="00B84940">
      <w:pPr>
        <w:pStyle w:val="ListBullet2"/>
      </w:pPr>
      <w:r w:rsidRPr="00B84940">
        <w:t>lost foam</w:t>
      </w:r>
    </w:p>
    <w:p w:rsidR="00000000" w:rsidRPr="00B84940" w:rsidP="00B84940">
      <w:pPr>
        <w:pStyle w:val="ListBullet2"/>
      </w:pPr>
      <w:r w:rsidRPr="00B84940">
        <w:t>vacuum process and protective atmospheres</w:t>
      </w:r>
    </w:p>
    <w:p w:rsidR="00000000" w:rsidRPr="00B84940" w:rsidP="00B84940">
      <w:pPr>
        <w:pStyle w:val="ListBullet2"/>
      </w:pPr>
      <w:r w:rsidRPr="00B84940">
        <w:t>ingot casting</w:t>
      </w:r>
    </w:p>
    <w:p w:rsidR="00000000" w:rsidRPr="00B84940" w:rsidP="00B84940">
      <w:pPr>
        <w:pStyle w:val="ListBullet"/>
      </w:pPr>
      <w:r w:rsidRPr="00B84940">
        <w:t>preparation of a mould including:</w:t>
      </w:r>
    </w:p>
    <w:p w:rsidR="00000000" w:rsidRPr="00B84940" w:rsidP="00B84940">
      <w:pPr>
        <w:pStyle w:val="ListBullet2"/>
      </w:pPr>
      <w:r w:rsidRPr="00B84940">
        <w:t>types of mould, shell moulds and dies</w:t>
      </w:r>
    </w:p>
    <w:p w:rsidR="00000000" w:rsidRPr="00B84940" w:rsidP="00B84940">
      <w:pPr>
        <w:pStyle w:val="ListBullet2"/>
      </w:pPr>
      <w:r w:rsidRPr="00B84940">
        <w:t>pattern types, materials, construction and design</w:t>
      </w:r>
    </w:p>
    <w:p w:rsidR="00000000" w:rsidRPr="00B84940" w:rsidP="00B84940">
      <w:pPr>
        <w:pStyle w:val="ListBullet2"/>
      </w:pPr>
      <w:r w:rsidRPr="00B84940">
        <w:t>raw materials including sand and bonds</w:t>
      </w:r>
    </w:p>
    <w:p w:rsidR="00000000" w:rsidRPr="00B84940" w:rsidP="00B84940">
      <w:pPr>
        <w:pStyle w:val="ListBullet2"/>
      </w:pPr>
      <w:r w:rsidRPr="00B84940">
        <w:t>sand moulding processes, manual moulding and machine moulding</w:t>
      </w:r>
    </w:p>
    <w:p w:rsidR="00000000" w:rsidRPr="00B84940" w:rsidP="00B84940">
      <w:pPr>
        <w:pStyle w:val="ListBullet2"/>
      </w:pPr>
      <w:r w:rsidRPr="00B84940">
        <w:t>moulding equipment, machines and applications and safety around machinery</w:t>
      </w:r>
    </w:p>
    <w:p w:rsidR="00000000" w:rsidRPr="00B84940" w:rsidP="00B84940">
      <w:pPr>
        <w:pStyle w:val="ListBullet2"/>
      </w:pPr>
      <w:r w:rsidRPr="00B84940">
        <w:t>cores, basic core making proced</w:t>
      </w:r>
      <w:r w:rsidRPr="00B84940">
        <w:t>ures, equipment and machines</w:t>
      </w:r>
    </w:p>
    <w:p w:rsidR="00000000" w:rsidRPr="00B84940" w:rsidP="00B84940">
      <w:pPr>
        <w:pStyle w:val="ListBullet2"/>
      </w:pPr>
      <w:r w:rsidRPr="00B84940">
        <w:t>mould assembly and handling</w:t>
      </w:r>
    </w:p>
    <w:p w:rsidR="00000000" w:rsidRPr="00B84940" w:rsidP="00B84940">
      <w:pPr>
        <w:pStyle w:val="ListBullet2"/>
      </w:pPr>
      <w:r w:rsidRPr="00B84940">
        <w:t>ancillary equipment, sand handling, mould handling and processing</w:t>
      </w:r>
    </w:p>
    <w:p w:rsidR="00000000" w:rsidRPr="00B84940" w:rsidP="00B84940">
      <w:pPr>
        <w:pStyle w:val="ListBullet"/>
      </w:pPr>
      <w:r w:rsidRPr="00B84940">
        <w:t>preparation of molten alloys including:</w:t>
      </w:r>
    </w:p>
    <w:p w:rsidR="00000000" w:rsidRPr="00B84940" w:rsidP="00B84940">
      <w:pPr>
        <w:pStyle w:val="ListBullet2"/>
      </w:pPr>
      <w:r w:rsidRPr="00B84940">
        <w:t>ferrous alloys</w:t>
      </w:r>
    </w:p>
    <w:p w:rsidR="00000000" w:rsidRPr="00B84940" w:rsidP="00B84940">
      <w:pPr>
        <w:pStyle w:val="ListBullet2"/>
      </w:pPr>
      <w:r w:rsidRPr="00B84940">
        <w:t>cast irons, white, grey, malleable and SG cast irons</w:t>
      </w:r>
    </w:p>
    <w:p w:rsidR="00000000" w:rsidRPr="00B84940" w:rsidP="00B84940">
      <w:pPr>
        <w:pStyle w:val="ListBullet2"/>
      </w:pPr>
      <w:r w:rsidRPr="00B84940">
        <w:t>cast steels, carbon steels and alloy steels</w:t>
      </w:r>
    </w:p>
    <w:p w:rsidR="00000000" w:rsidRPr="00B84940" w:rsidP="00B84940">
      <w:pPr>
        <w:pStyle w:val="ListBullet2"/>
      </w:pPr>
      <w:r w:rsidRPr="00B84940">
        <w:t>nonferrous alloys</w:t>
      </w:r>
    </w:p>
    <w:p w:rsidR="00000000" w:rsidRPr="00B84940" w:rsidP="00B84940">
      <w:pPr>
        <w:pStyle w:val="ListBullet2"/>
      </w:pPr>
      <w:r w:rsidRPr="00B84940">
        <w:t>cast aluminium alloys</w:t>
      </w:r>
    </w:p>
    <w:p w:rsidR="00000000" w:rsidRPr="00B84940" w:rsidP="00B84940">
      <w:pPr>
        <w:pStyle w:val="ListBullet2"/>
      </w:pPr>
      <w:r w:rsidRPr="00B84940">
        <w:t>aluminium silicon (Al-Si) alloys</w:t>
      </w:r>
    </w:p>
    <w:p w:rsidR="00000000" w:rsidRPr="00B84940" w:rsidP="00B84940">
      <w:pPr>
        <w:pStyle w:val="ListBullet2"/>
      </w:pPr>
      <w:r w:rsidRPr="00B84940">
        <w:t>cast copper, magnesium, titanium and zinc alloys</w:t>
      </w:r>
    </w:p>
    <w:p w:rsidR="00000000" w:rsidRPr="00B84940" w:rsidP="00B84940">
      <w:pPr>
        <w:pStyle w:val="ListBullet"/>
      </w:pPr>
      <w:r w:rsidRPr="00B84940">
        <w:t>melting including:</w:t>
      </w:r>
    </w:p>
    <w:p w:rsidR="00000000" w:rsidRPr="00B84940" w:rsidP="00B84940">
      <w:pPr>
        <w:pStyle w:val="ListBullet2"/>
      </w:pPr>
      <w:r w:rsidRPr="00B84940">
        <w:t>type of furnaces with applications</w:t>
      </w:r>
    </w:p>
    <w:p w:rsidR="00000000" w:rsidRPr="00B84940" w:rsidP="00B84940">
      <w:pPr>
        <w:pStyle w:val="ListBullet2"/>
      </w:pPr>
      <w:r w:rsidRPr="00B84940">
        <w:t>electric-arc furnace and induction</w:t>
      </w:r>
      <w:r w:rsidRPr="00B84940">
        <w:t xml:space="preserve"> furnace</w:t>
      </w:r>
    </w:p>
    <w:p w:rsidR="00000000" w:rsidRPr="00B84940" w:rsidP="00B84940">
      <w:pPr>
        <w:pStyle w:val="ListBullet2"/>
      </w:pPr>
      <w:r w:rsidRPr="00B84940">
        <w:t>structure and melting principles</w:t>
      </w:r>
    </w:p>
    <w:p w:rsidR="00000000" w:rsidRPr="00B84940" w:rsidP="00B84940">
      <w:pPr>
        <w:pStyle w:val="ListBullet2"/>
      </w:pPr>
      <w:r w:rsidRPr="00B84940">
        <w:t>pouring including:</w:t>
      </w:r>
    </w:p>
    <w:p w:rsidR="00000000" w:rsidRPr="00B84940" w:rsidP="00B84940">
      <w:pPr>
        <w:pStyle w:val="ListBullet2"/>
      </w:pPr>
      <w:r w:rsidRPr="00B84940">
        <w:t>pouring and molten metal safety</w:t>
      </w:r>
    </w:p>
    <w:p w:rsidR="00000000" w:rsidRPr="00B84940" w:rsidP="00B84940">
      <w:pPr>
        <w:pStyle w:val="ListBullet2"/>
      </w:pPr>
      <w:r w:rsidRPr="00B84940">
        <w:t>pouring equipment</w:t>
      </w:r>
    </w:p>
    <w:p w:rsidR="00000000" w:rsidRPr="00B84940" w:rsidP="00B84940">
      <w:pPr>
        <w:pStyle w:val="ListBullet2"/>
      </w:pPr>
      <w:r w:rsidRPr="00B84940">
        <w:t>running and gating systems</w:t>
      </w:r>
    </w:p>
    <w:p w:rsidR="00000000" w:rsidRPr="00B84940" w:rsidP="00B84940">
      <w:pPr>
        <w:pStyle w:val="ListBullet2"/>
      </w:pPr>
      <w:r w:rsidRPr="00B84940">
        <w:t>solidification process including grain growth, effects of super heat, mould geometry and chill</w:t>
      </w:r>
    </w:p>
    <w:p w:rsidR="00000000" w:rsidRPr="00B84940" w:rsidP="00B84940">
      <w:pPr>
        <w:pStyle w:val="ListBullet"/>
      </w:pPr>
      <w:r w:rsidRPr="00B84940">
        <w:t>feeding risers outline of basic principles</w:t>
      </w:r>
    </w:p>
    <w:p w:rsidR="00000000" w:rsidRPr="00B84940" w:rsidP="00B84940">
      <w:pPr>
        <w:pStyle w:val="ListBullet2"/>
      </w:pPr>
      <w:r w:rsidRPr="00B84940">
        <w:t>cleaning of castings including:</w:t>
      </w:r>
    </w:p>
    <w:p w:rsidR="00000000" w:rsidRPr="00B84940" w:rsidP="00B84940">
      <w:pPr>
        <w:pStyle w:val="ListBullet2"/>
      </w:pPr>
      <w:r w:rsidRPr="00B84940">
        <w:t>shakeout</w:t>
      </w:r>
    </w:p>
    <w:p w:rsidR="00000000" w:rsidRPr="00B84940" w:rsidP="00B84940">
      <w:pPr>
        <w:pStyle w:val="ListBullet2"/>
      </w:pPr>
      <w:r w:rsidRPr="00B84940">
        <w:t>cleaning room practices including methods and equipment</w:t>
      </w:r>
    </w:p>
    <w:p w:rsidR="00000000" w:rsidRPr="00B84940" w:rsidP="00B84940">
      <w:pPr>
        <w:pStyle w:val="ListBullet2"/>
      </w:pPr>
      <w:r w:rsidRPr="00B84940">
        <w:t>removing the mould materials</w:t>
      </w:r>
    </w:p>
    <w:p w:rsidR="00000000" w:rsidRPr="00B84940" w:rsidP="00B84940">
      <w:pPr>
        <w:pStyle w:val="ListBullet2"/>
      </w:pPr>
      <w:r w:rsidRPr="00B84940">
        <w:t>removing gate and risers</w:t>
      </w:r>
    </w:p>
    <w:p w:rsidR="00000000" w:rsidRPr="00B84940" w:rsidP="00B84940">
      <w:pPr>
        <w:pStyle w:val="ListBullet2"/>
      </w:pPr>
      <w:r w:rsidRPr="00B84940">
        <w:t>finish cleaning</w:t>
      </w:r>
    </w:p>
    <w:p w:rsidR="00000000" w:rsidRPr="00B84940" w:rsidP="00B84940">
      <w:pPr>
        <w:pStyle w:val="ListBullet"/>
      </w:pPr>
      <w:r w:rsidRPr="00B84940">
        <w:t>inspection of castings including:</w:t>
      </w:r>
    </w:p>
    <w:p w:rsidR="00000000" w:rsidRPr="00B84940" w:rsidP="00B84940">
      <w:pPr>
        <w:pStyle w:val="ListBullet2"/>
      </w:pPr>
      <w:r w:rsidRPr="00B84940">
        <w:t>visual ex</w:t>
      </w:r>
      <w:r w:rsidRPr="00B84940">
        <w:t>amination</w:t>
      </w:r>
    </w:p>
    <w:p w:rsidR="00000000" w:rsidRPr="00B84940" w:rsidP="00B84940">
      <w:pPr>
        <w:pStyle w:val="ListBullet2"/>
      </w:pPr>
      <w:r w:rsidRPr="00B84940">
        <w:t>magnetic and penetrant methods</w:t>
      </w:r>
    </w:p>
    <w:p w:rsidR="00000000" w:rsidRPr="00B84940" w:rsidP="00B84940">
      <w:pPr>
        <w:pStyle w:val="ListBullet2"/>
      </w:pPr>
      <w:r w:rsidRPr="00B84940">
        <w:t>radiographic and ultrasonic methods</w:t>
      </w:r>
    </w:p>
    <w:p w:rsidR="00000000" w:rsidRPr="00B84940" w:rsidP="00B84940">
      <w:pPr>
        <w:pStyle w:val="ListBullet2"/>
      </w:pPr>
      <w:r w:rsidRPr="00B84940">
        <w:t>chemical, metallographic and mechanical testing</w:t>
      </w:r>
    </w:p>
    <w:p w:rsidR="00000000" w:rsidRPr="00B84940" w:rsidP="00B84940">
      <w:pPr>
        <w:pStyle w:val="ListBullet"/>
      </w:pPr>
      <w:r w:rsidRPr="00B84940">
        <w:t>repair of casting including:</w:t>
      </w:r>
    </w:p>
    <w:p w:rsidR="00000000" w:rsidRPr="00B84940" w:rsidP="00B84940">
      <w:pPr>
        <w:pStyle w:val="ListBullet2"/>
      </w:pPr>
      <w:r w:rsidRPr="00B84940">
        <w:t>aligning</w:t>
      </w:r>
    </w:p>
    <w:p w:rsidR="00000000" w:rsidRPr="00B84940" w:rsidP="00B84940">
      <w:pPr>
        <w:pStyle w:val="ListBullet2"/>
      </w:pPr>
      <w:r w:rsidRPr="00B84940">
        <w:t>welding</w:t>
      </w:r>
    </w:p>
    <w:p w:rsidR="00000000" w:rsidRPr="00B84940" w:rsidP="00B84940">
      <w:pPr>
        <w:pStyle w:val="ListBullet2"/>
      </w:pPr>
      <w:r w:rsidRPr="00B84940">
        <w:t>filling.</w:t>
      </w:r>
    </w:p>
    <w:p w:rsidR="00000000" w:rsidRPr="00B84940" w:rsidP="00B84940">
      <w:pPr>
        <w:pStyle w:val="AllowPageBreak"/>
      </w:pPr>
    </w:p>
    <w:p w:rsidR="00000000" w:rsidRPr="00B84940" w:rsidP="00B84940">
      <w:pPr>
        <w:pStyle w:val="Heading1"/>
      </w:pPr>
      <w:bookmarkStart w:id="4" w:name="O_949824"/>
      <w:bookmarkEnd w:id="4"/>
      <w:r w:rsidRPr="00B84940">
        <w:t>Assessment Conditions</w:t>
      </w:r>
    </w:p>
    <w:p w:rsidR="00000000" w:rsidRPr="00B84940" w:rsidP="00B84940">
      <w:pPr>
        <w:pStyle w:val="ListBullet"/>
      </w:pPr>
      <w:r w:rsidRPr="00B84940">
        <w:t>Assessors must:</w:t>
      </w:r>
    </w:p>
    <w:p w:rsidR="00000000" w:rsidRPr="00B84940" w:rsidP="00B84940">
      <w:pPr>
        <w:pStyle w:val="ListBullet2"/>
      </w:pPr>
      <w:r w:rsidRPr="00B84940">
        <w:t>have vocational competency in applying basic knowledge of casting operations at least to the level being assessed with relevant industry knowledge and experience</w:t>
      </w:r>
    </w:p>
    <w:p w:rsidR="00000000" w:rsidRPr="00B84940" w:rsidP="00B84940">
      <w:pPr>
        <w:pStyle w:val="ListBullet2"/>
      </w:pPr>
      <w:r w:rsidRPr="00B84940">
        <w:t xml:space="preserve">satisfy the assessor requirements in the </w:t>
      </w:r>
      <w:r w:rsidRPr="00B84940">
        <w:rPr>
          <w:rStyle w:val="Emphasis"/>
        </w:rPr>
        <w:t xml:space="preserve">Standards for Registered Training Organisations 2015 </w:t>
      </w:r>
      <w:r w:rsidRPr="00B84940">
        <w:t>or its replacement</w:t>
      </w:r>
      <w:r w:rsidRPr="00B84940">
        <w:rPr>
          <w:rStyle w:val="Emphasis"/>
        </w:rPr>
        <w:t xml:space="preserve"> </w:t>
      </w:r>
      <w:r w:rsidRPr="00B84940">
        <w:t xml:space="preserve">and comply with the </w:t>
      </w:r>
      <w:r w:rsidRPr="00B84940">
        <w:rPr>
          <w:rStyle w:val="Emphasis"/>
        </w:rPr>
        <w:t xml:space="preserve">National Vocational Education and Training Regulator Act 2011, </w:t>
      </w:r>
      <w:r w:rsidRPr="00B84940">
        <w:t>its replacement</w:t>
      </w:r>
      <w:r w:rsidRPr="00B84940">
        <w:rPr>
          <w:rStyle w:val="Emphasis"/>
        </w:rPr>
        <w:t xml:space="preserve"> </w:t>
      </w:r>
      <w:r w:rsidRPr="00B84940">
        <w:t>or equivalent legislation covering VET regulation in a non-referring state/territory as the case requires.</w:t>
      </w:r>
    </w:p>
    <w:p w:rsidR="00000000" w:rsidRPr="00B84940" w:rsidP="00B84940">
      <w:pPr>
        <w:pStyle w:val="ListBullet"/>
      </w:pPr>
      <w:r w:rsidRPr="00B84940">
        <w:t>Where possible, assessment mus</w:t>
      </w:r>
      <w:r w:rsidRPr="00B84940">
        <w:t>t occur in operational workplace situations. Where this is not possible or where personal safety or environmental damage are limiting factors, assessment must occur in a sufficiently rigorous simulated environment that reflects realistic operational workpl</w:t>
      </w:r>
      <w:r w:rsidRPr="00B84940">
        <w:t>ace conditions that cover all aspects of workplace performance, including environment, task skills, task management skills, contingency management skills and job role environment skills.</w:t>
      </w:r>
    </w:p>
    <w:p w:rsidR="00000000" w:rsidRPr="00B84940" w:rsidP="00B84940">
      <w:pPr>
        <w:pStyle w:val="ListBullet"/>
      </w:pPr>
      <w:r w:rsidRPr="00B84940">
        <w:t>Conditions for assessment must include access to all tools, equipment</w:t>
      </w:r>
      <w:r w:rsidRPr="00B84940">
        <w:t>, materials and documentation required including relevant workplace procedures, product and manufacturing specifications.</w:t>
      </w:r>
    </w:p>
    <w:p w:rsidR="00000000" w:rsidRPr="00B84940" w:rsidP="00B84940">
      <w:pPr>
        <w:pStyle w:val="ListBullet"/>
      </w:pPr>
      <w:r w:rsidRPr="00B84940">
        <w:t>Assessment processes and techniques must be appropriate to the language, literacy and numeracy requirements of the work being performe</w:t>
      </w:r>
      <w:r w:rsidRPr="00B84940">
        <w:t>d and the needs of the candidate.</w:t>
      </w:r>
    </w:p>
    <w:p w:rsidR="00000000" w:rsidRPr="00B84940" w:rsidP="00B84940">
      <w:pPr>
        <w:pStyle w:val="AllowPageBreak"/>
      </w:pPr>
    </w:p>
    <w:p w:rsidR="00000000" w:rsidRPr="00B84940" w:rsidP="00B84940">
      <w:pPr>
        <w:pStyle w:val="Heading1"/>
      </w:pPr>
      <w:bookmarkStart w:id="5" w:name="O_949822"/>
      <w:bookmarkEnd w:id="5"/>
      <w:r w:rsidRPr="00B84940">
        <w:t>Links</w:t>
      </w:r>
    </w:p>
    <w:p w:rsidR="00000000" w:rsidRPr="00B84940" w:rsidP="008B7DCC">
      <w:pPr>
        <w:pStyle w:val="BodyText"/>
      </w:pPr>
      <w:r w:rsidRPr="00B84940">
        <w:t xml:space="preserve">Companion Volume Implementation Guides are available on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080F8C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B84940" w:rsidP="00B84940"/>
    <w:sectPr w:rsidSect="00B8494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494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4940" w:rsidRPr="008B7DCC" w:rsidP="008B7DC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494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7DCC" w:rsidP="00B8494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B7DCC" w:rsidP="00B8494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8B7DCC" w:rsidP="00B8494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494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7DC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84940" w:rsidRPr="008B7DCC" w:rsidP="008B7DC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494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7DCC" w:rsidRPr="002D2AF8" w:rsidP="00B8494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MEM48005 Apply basic knowledge of casting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8B7DCC" w:rsidP="00B8494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E5A3C7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F2642A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CB2C19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494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8494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8494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8494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8494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8494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8494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8494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8494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8494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8494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84940"/>
  </w:style>
  <w:style w:type="character" w:customStyle="1" w:styleId="Heading1Char">
    <w:name w:val="Heading 1 Char"/>
    <w:basedOn w:val="DefaultParagraphFont"/>
    <w:link w:val="Heading1"/>
    <w:rsid w:val="00B8494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8494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8494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8494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84940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B84940"/>
    <w:rPr>
      <w:i/>
    </w:rPr>
  </w:style>
  <w:style w:type="paragraph" w:customStyle="1" w:styleId="SuperHeading">
    <w:name w:val="SuperHeading"/>
    <w:basedOn w:val="Normal"/>
    <w:rsid w:val="00B8494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8494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8494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8494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8494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8494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8494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8494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8494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8494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8494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8494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8494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8494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8494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8494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8494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8494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8494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8494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8494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8494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84940"/>
    <w:rPr>
      <w:b/>
      <w:spacing w:val="0"/>
    </w:rPr>
  </w:style>
  <w:style w:type="paragraph" w:customStyle="1" w:styleId="SuperTitle">
    <w:name w:val="SuperTitle"/>
    <w:basedOn w:val="Title"/>
    <w:rsid w:val="00B8494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8494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8494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8494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8494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8494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8494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8494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8494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8494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8494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8494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8494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8494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8494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84940"/>
  </w:style>
  <w:style w:type="paragraph" w:styleId="TableofFigures">
    <w:name w:val="table of figures"/>
    <w:basedOn w:val="Normal"/>
    <w:next w:val="Normal"/>
    <w:semiHidden/>
    <w:rsid w:val="00B8494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8494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84940"/>
    <w:rPr>
      <w:rFonts w:ascii="Wingdings" w:hAnsi="Wingdings"/>
    </w:rPr>
  </w:style>
  <w:style w:type="paragraph" w:customStyle="1" w:styleId="TableHeading">
    <w:name w:val="Table Heading"/>
    <w:basedOn w:val="HeadingBase"/>
    <w:rsid w:val="00B8494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84940"/>
    <w:rPr>
      <w:color w:val="0033CC"/>
      <w:u w:val="none"/>
    </w:rPr>
  </w:style>
  <w:style w:type="paragraph" w:customStyle="1" w:styleId="BodyTextRight">
    <w:name w:val="Body Text Right"/>
    <w:basedOn w:val="BodyText"/>
    <w:rsid w:val="00B8494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8494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8494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8494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8494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8494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84940"/>
    <w:rPr>
      <w:sz w:val="32"/>
    </w:rPr>
  </w:style>
  <w:style w:type="paragraph" w:customStyle="1" w:styleId="HeadingProcedure">
    <w:name w:val="Heading Procedure"/>
    <w:basedOn w:val="HeadingBase"/>
    <w:next w:val="Normal"/>
    <w:rsid w:val="00B8494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84940"/>
    <w:pPr>
      <w:spacing w:before="60" w:after="60"/>
    </w:pPr>
  </w:style>
  <w:style w:type="paragraph" w:styleId="ListContinue">
    <w:name w:val="List Continue"/>
    <w:basedOn w:val="List"/>
    <w:rsid w:val="00B84940"/>
    <w:pPr>
      <w:ind w:firstLine="0"/>
    </w:pPr>
  </w:style>
  <w:style w:type="paragraph" w:customStyle="1" w:styleId="ListNote">
    <w:name w:val="List Note"/>
    <w:basedOn w:val="List"/>
    <w:rsid w:val="00B8494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8494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8494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84940"/>
    <w:rPr>
      <w:rFonts w:ascii="Courier New" w:hAnsi="Courier New"/>
    </w:rPr>
  </w:style>
  <w:style w:type="paragraph" w:customStyle="1" w:styleId="NoteBullet">
    <w:name w:val="Note Bullet"/>
    <w:basedOn w:val="Note"/>
    <w:rsid w:val="00B8494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8494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8494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8494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8494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8494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8494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84940"/>
    <w:rPr>
      <w:b/>
      <w:smallCaps/>
    </w:rPr>
  </w:style>
  <w:style w:type="paragraph" w:customStyle="1" w:styleId="TableListNumber">
    <w:name w:val="Table List Number"/>
    <w:basedOn w:val="ListNumber"/>
    <w:rsid w:val="00B8494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8494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84940"/>
    <w:pPr>
      <w:numPr>
        <w:numId w:val="9"/>
      </w:numPr>
    </w:pPr>
  </w:style>
  <w:style w:type="paragraph" w:customStyle="1" w:styleId="ListAlpha2">
    <w:name w:val="List Alpha 2"/>
    <w:basedOn w:val="List2"/>
    <w:rsid w:val="00B84940"/>
    <w:pPr>
      <w:numPr>
        <w:numId w:val="8"/>
      </w:numPr>
    </w:pPr>
  </w:style>
  <w:style w:type="paragraph" w:styleId="List2">
    <w:name w:val="List 2"/>
    <w:basedOn w:val="BodyText"/>
    <w:rsid w:val="00B8494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8494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8494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8494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8494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8494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84940"/>
    <w:pPr>
      <w:numPr>
        <w:numId w:val="4"/>
      </w:numPr>
    </w:pPr>
  </w:style>
  <w:style w:type="paragraph" w:styleId="ListContinue2">
    <w:name w:val="List Continue 2"/>
    <w:basedOn w:val="List2"/>
    <w:rsid w:val="00B84940"/>
    <w:pPr>
      <w:ind w:firstLine="0"/>
    </w:pPr>
  </w:style>
  <w:style w:type="paragraph" w:styleId="ListContinue3">
    <w:name w:val="List Continue 3"/>
    <w:basedOn w:val="List3"/>
    <w:rsid w:val="00B84940"/>
    <w:pPr>
      <w:ind w:left="1021" w:firstLine="0"/>
    </w:pPr>
  </w:style>
  <w:style w:type="paragraph" w:styleId="ListContinue4">
    <w:name w:val="List Continue 4"/>
    <w:basedOn w:val="List4"/>
    <w:rsid w:val="00B84940"/>
    <w:pPr>
      <w:ind w:firstLine="0"/>
    </w:pPr>
  </w:style>
  <w:style w:type="paragraph" w:styleId="ListContinue5">
    <w:name w:val="List Continue 5"/>
    <w:basedOn w:val="List5"/>
    <w:rsid w:val="00B84940"/>
    <w:pPr>
      <w:ind w:firstLine="0"/>
    </w:pPr>
  </w:style>
  <w:style w:type="paragraph" w:styleId="ListNumber3">
    <w:name w:val="List Number 3"/>
    <w:basedOn w:val="List3"/>
    <w:rsid w:val="00B84940"/>
    <w:pPr>
      <w:numPr>
        <w:numId w:val="5"/>
      </w:numPr>
    </w:pPr>
  </w:style>
  <w:style w:type="paragraph" w:styleId="ListNumber4">
    <w:name w:val="List Number 4"/>
    <w:basedOn w:val="List4"/>
    <w:rsid w:val="00B84940"/>
    <w:pPr>
      <w:numPr>
        <w:numId w:val="6"/>
      </w:numPr>
    </w:pPr>
  </w:style>
  <w:style w:type="paragraph" w:styleId="ListNumber5">
    <w:name w:val="List Number 5"/>
    <w:basedOn w:val="List5"/>
    <w:rsid w:val="00B84940"/>
    <w:pPr>
      <w:numPr>
        <w:numId w:val="7"/>
      </w:numPr>
    </w:pPr>
  </w:style>
  <w:style w:type="paragraph" w:styleId="BlockText">
    <w:name w:val="Block Text"/>
    <w:basedOn w:val="Normal"/>
    <w:rsid w:val="00B8494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8494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84940"/>
    <w:rPr>
      <w:sz w:val="16"/>
      <w:vertAlign w:val="superscript"/>
    </w:rPr>
  </w:style>
  <w:style w:type="character" w:customStyle="1" w:styleId="Symbols">
    <w:name w:val="Symbols"/>
    <w:basedOn w:val="DefaultParagraphFont"/>
    <w:rsid w:val="00B84940"/>
    <w:rPr>
      <w:rFonts w:ascii="Symbol" w:hAnsi="Symbol"/>
    </w:rPr>
  </w:style>
  <w:style w:type="character" w:customStyle="1" w:styleId="MenuOptions">
    <w:name w:val="Menu Options"/>
    <w:basedOn w:val="DefaultParagraphFont"/>
    <w:rsid w:val="00B8494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84940"/>
    <w:rPr>
      <w:b/>
    </w:rPr>
  </w:style>
  <w:style w:type="character" w:customStyle="1" w:styleId="Underlined">
    <w:name w:val="Underlined"/>
    <w:basedOn w:val="DefaultParagraphFont"/>
    <w:rsid w:val="00B84940"/>
    <w:rPr>
      <w:u w:val="single"/>
    </w:rPr>
  </w:style>
  <w:style w:type="paragraph" w:customStyle="1" w:styleId="TableBodyTextRight">
    <w:name w:val="Table Body Text Right"/>
    <w:basedOn w:val="TableBodyText"/>
    <w:rsid w:val="00B8494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84940"/>
    <w:rPr>
      <w:sz w:val="18"/>
    </w:rPr>
  </w:style>
  <w:style w:type="paragraph" w:customStyle="1" w:styleId="BodySmallRight">
    <w:name w:val="Body Small Right"/>
    <w:basedOn w:val="BodyTextRight"/>
    <w:rsid w:val="00B84940"/>
    <w:rPr>
      <w:sz w:val="18"/>
      <w:szCs w:val="18"/>
    </w:rPr>
  </w:style>
  <w:style w:type="paragraph" w:customStyle="1" w:styleId="MarginEdition">
    <w:name w:val="Margin Edition"/>
    <w:basedOn w:val="MarginNote"/>
    <w:rsid w:val="00B8494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84940"/>
    <w:rPr>
      <w:sz w:val="2"/>
      <w:szCs w:val="2"/>
    </w:rPr>
  </w:style>
  <w:style w:type="character" w:customStyle="1" w:styleId="Small">
    <w:name w:val="Small"/>
    <w:basedOn w:val="DefaultParagraphFont"/>
    <w:rsid w:val="00B84940"/>
    <w:rPr>
      <w:sz w:val="16"/>
    </w:rPr>
  </w:style>
  <w:style w:type="paragraph" w:customStyle="1" w:styleId="WideTable">
    <w:name w:val="Wide Table"/>
    <w:basedOn w:val="Normal"/>
    <w:rsid w:val="00B8494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84940"/>
  </w:style>
  <w:style w:type="paragraph" w:styleId="Quote">
    <w:name w:val="Quote"/>
    <w:basedOn w:val="Heading1"/>
    <w:link w:val="QuoteChar"/>
    <w:qFormat/>
    <w:rsid w:val="00B8494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8494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84940"/>
    <w:pPr>
      <w:pageBreakBefore/>
    </w:pPr>
  </w:style>
  <w:style w:type="paragraph" w:customStyle="1" w:styleId="Border">
    <w:name w:val="Border"/>
    <w:basedOn w:val="Normal"/>
    <w:qFormat/>
    <w:rsid w:val="00B8494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8494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8494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8494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8494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8494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8494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8494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8494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84940"/>
    <w:rPr>
      <w:u w:val="single"/>
    </w:rPr>
  </w:style>
  <w:style w:type="character" w:customStyle="1" w:styleId="BoldandItalics">
    <w:name w:val="Bold and Italics"/>
    <w:qFormat/>
    <w:rsid w:val="00B84940"/>
    <w:rPr>
      <w:b/>
      <w:i/>
      <w:u w:val="none"/>
    </w:rPr>
  </w:style>
  <w:style w:type="paragraph" w:styleId="BalloonText">
    <w:name w:val="Balloon Text"/>
    <w:basedOn w:val="Normal"/>
    <w:link w:val="BalloonTextChar"/>
    <w:rsid w:val="00B849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8494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8494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8494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8494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8494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84940"/>
    <w:pPr>
      <w:spacing w:before="0" w:after="0"/>
    </w:pPr>
  </w:style>
  <w:style w:type="paragraph" w:customStyle="1" w:styleId="BodyTextBold">
    <w:name w:val="Body Text Bold"/>
    <w:basedOn w:val="BodyText"/>
    <w:qFormat/>
    <w:rsid w:val="00B84940"/>
    <w:rPr>
      <w:b/>
    </w:rPr>
  </w:style>
  <w:style w:type="character" w:styleId="Hyperlink">
    <w:name w:val="Hyperlink"/>
    <w:basedOn w:val="DefaultParagraphFont"/>
    <w:uiPriority w:val="99"/>
    <w:unhideWhenUsed/>
    <w:rsid w:val="008B7DC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596</Words>
  <Characters>4009</Characters>
  <Application>Microsoft Office Word</Application>
  <DocSecurity>0</DocSecurity>
  <Lines>108</Lines>
  <Paragraphs>88</Paragraphs>
  <ScaleCrop>false</ScaleCrop>
  <Company>Author-it Software Corporation Ltd.</Company>
  <LinksUpToDate>false</LinksUpToDate>
  <CharactersWithSpaces>4517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MEM48005 Apply basic knowledge of casting operations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2023-02-03T06:34:00Z</dcterms:created>
  <dcterms:modified xsi:type="dcterms:W3CDTF">2023-02-03T06:34:00Z</dcterms:modified>
</cp:coreProperties>
</file>