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383" w:rsidP="00005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MEM48003 Monitor nonferrous melting and casting processes</w:t>
      </w:r>
      <w:r>
        <w:fldChar w:fldCharType="end"/>
      </w:r>
    </w:p>
    <w:p w:rsidR="00005383" w:rsidP="00005383">
      <w:pPr>
        <w:pStyle w:val="Version"/>
        <w:sectPr w:rsidSect="00B10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BFA" w:rsidP="00B10BFA">
      <w:pPr>
        <w:pStyle w:val="SuperHeading"/>
      </w:pPr>
      <w:r w:rsidRPr="00B10BFA">
        <w:t>MEM48003 Monitor nonferrous melting and casting processes</w:t>
      </w:r>
    </w:p>
    <w:p w:rsidR="00000000" w:rsidRPr="00B10BFA" w:rsidP="00B10BFA">
      <w:pPr>
        <w:pStyle w:val="Heading1"/>
      </w:pPr>
      <w:bookmarkStart w:id="1" w:name="O_949789"/>
      <w:bookmarkEnd w:id="1"/>
      <w:r w:rsidRPr="00B10BFA">
        <w:t>Modification History</w:t>
      </w:r>
    </w:p>
    <w:p w:rsidR="00000000" w:rsidRPr="00B10BFA" w:rsidP="00005383">
      <w:pPr>
        <w:pStyle w:val="BodyText"/>
      </w:pPr>
      <w:r w:rsidRPr="00B10BFA">
        <w:t>Release 1. Supersedes and is equivalent to MSATCM303A Monitor non-ferrous melting and casting processes.</w:t>
      </w:r>
    </w:p>
    <w:p w:rsidR="00000000" w:rsidRPr="00B10BFA" w:rsidP="00B10BFA">
      <w:pPr>
        <w:pStyle w:val="Heading1"/>
      </w:pPr>
      <w:bookmarkStart w:id="2" w:name="O_949797"/>
      <w:bookmarkEnd w:id="2"/>
      <w:r w:rsidRPr="00B10BFA">
        <w:t>Application</w:t>
      </w:r>
    </w:p>
    <w:p w:rsidR="00000000" w:rsidRPr="00B10BFA" w:rsidP="00005383">
      <w:pPr>
        <w:pStyle w:val="BodyText"/>
      </w:pPr>
      <w:r w:rsidRPr="00B10BFA">
        <w:t>This unit of competency defines the knowledge and skills required to undertake the me</w:t>
      </w:r>
      <w:r w:rsidRPr="00B10BFA">
        <w:t>lting and casting of nonferrous alloys.</w:t>
      </w:r>
    </w:p>
    <w:p w:rsidR="00000000" w:rsidRPr="00B10BFA" w:rsidP="00005383">
      <w:pPr>
        <w:pStyle w:val="BodyText"/>
      </w:pPr>
      <w:r w:rsidRPr="00B10BFA">
        <w:t>It applies where a technician will be required to monitor a nonferrous melting and casting operation, ensuring that correct quantities are used and correct procedures followed.</w:t>
      </w:r>
    </w:p>
    <w:p w:rsidR="00000000" w:rsidRPr="00B10BFA" w:rsidP="00005383">
      <w:pPr>
        <w:pStyle w:val="BodyText"/>
      </w:pPr>
      <w:r w:rsidRPr="00B10BFA">
        <w:t>No licensing, legislative or certificat</w:t>
      </w:r>
      <w:r w:rsidRPr="00B10BFA">
        <w:t>ion requirements apply to this unit at the time of publication.</w:t>
      </w:r>
    </w:p>
    <w:p w:rsidR="00000000" w:rsidRPr="00B10BFA" w:rsidP="00B10BFA">
      <w:pPr>
        <w:pStyle w:val="Heading1"/>
      </w:pPr>
      <w:bookmarkStart w:id="3" w:name="O_949796"/>
      <w:bookmarkEnd w:id="3"/>
      <w:r w:rsidRPr="00B10BFA">
        <w:t>Pre-requisite Unit</w:t>
      </w:r>
    </w:p>
    <w:p w:rsidR="00000000" w:rsidRPr="00B10BFA" w:rsidP="00005383">
      <w:pPr>
        <w:pStyle w:val="BodyText"/>
      </w:pPr>
      <w:r w:rsidRPr="00B10BFA">
        <w:t>Nil</w:t>
      </w:r>
    </w:p>
    <w:p w:rsidR="00000000" w:rsidRPr="00B10BFA" w:rsidP="00B10BFA">
      <w:pPr>
        <w:pStyle w:val="Heading1"/>
      </w:pPr>
      <w:bookmarkStart w:id="4" w:name="O_949795"/>
      <w:bookmarkEnd w:id="4"/>
      <w:r w:rsidRPr="00B10BFA">
        <w:t>Competency Field</w:t>
      </w:r>
    </w:p>
    <w:p w:rsidR="00000000" w:rsidRPr="00B10BFA" w:rsidP="00005383">
      <w:pPr>
        <w:pStyle w:val="BodyText"/>
      </w:pPr>
      <w:r w:rsidRPr="00B10BFA">
        <w:t>Metallurgy</w:t>
      </w:r>
    </w:p>
    <w:p w:rsidR="00000000" w:rsidRPr="00B10BFA" w:rsidP="00B10BFA">
      <w:pPr>
        <w:pStyle w:val="Heading1"/>
      </w:pPr>
      <w:bookmarkStart w:id="5" w:name="O_949793"/>
      <w:bookmarkEnd w:id="5"/>
      <w:r w:rsidRPr="00B10BF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rPr>
                <w:rStyle w:val="SpecialBold"/>
              </w:rPr>
              <w:t>Performance Criteria</w:t>
            </w:r>
          </w:p>
        </w:tc>
      </w:tr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rPr>
                <w:rStyle w:val="Emphasis"/>
              </w:rPr>
              <w:t xml:space="preserve">Elements describe the </w:t>
            </w:r>
            <w:r w:rsidRPr="00B10BFA">
              <w:t>ess</w:t>
            </w:r>
            <w:r w:rsidRPr="00B10BFA">
              <w:t xml:space="preserve">ential </w:t>
            </w:r>
            <w:r w:rsidRPr="00B10BF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t>1.1 Follow standard operating procedures (SOPs)</w:t>
            </w:r>
          </w:p>
          <w:p w:rsidR="00000000" w:rsidRPr="00B10BFA" w:rsidP="00B10BFA">
            <w:pPr>
              <w:pStyle w:val="BodyText"/>
            </w:pPr>
            <w:r w:rsidRPr="00B10BFA">
              <w:t>1.2 Comply w</w:t>
            </w:r>
            <w:r w:rsidRPr="00B10BFA">
              <w:t>ith work health and safety (WHS) requirements at all times</w:t>
            </w:r>
          </w:p>
          <w:p w:rsidR="00000000" w:rsidRPr="00B10BFA" w:rsidP="00B10BFA">
            <w:pPr>
              <w:pStyle w:val="BodyText"/>
            </w:pPr>
            <w:r w:rsidRPr="00B10BFA">
              <w:t>1.3 Use appropriate personal protective equipment (PPE) in accordance with SOPs</w:t>
            </w:r>
          </w:p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1.4 Identify job requirements from work information</w:t>
            </w:r>
          </w:p>
        </w:tc>
      </w:tr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2. Identify specifications for required casting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t>2.1 Identify req</w:t>
            </w:r>
            <w:r w:rsidRPr="00B10BFA">
              <w:t>uired material specifications</w:t>
            </w:r>
          </w:p>
          <w:p w:rsidR="00000000" w:rsidRPr="00B10BFA" w:rsidP="00B10BFA">
            <w:pPr>
              <w:pStyle w:val="BodyText"/>
            </w:pPr>
            <w:r w:rsidRPr="00B10BFA">
              <w:t>2.2 Identify mould requirements</w:t>
            </w:r>
          </w:p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2.3 Identify any special appropriate requirements</w:t>
            </w:r>
          </w:p>
        </w:tc>
      </w:tr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3. Verify metal charges to melting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t>3.1 Select required components to give the required metal specification</w:t>
            </w:r>
          </w:p>
          <w:p w:rsidR="00000000" w:rsidRPr="00B10BFA" w:rsidP="00B10BFA">
            <w:pPr>
              <w:pStyle w:val="BodyText"/>
            </w:pPr>
            <w:r w:rsidRPr="00B10BFA">
              <w:t>3.2 Calculate required charge of eac</w:t>
            </w:r>
            <w:r w:rsidRPr="00B10BFA">
              <w:t>h component</w:t>
            </w:r>
          </w:p>
          <w:p w:rsidR="00000000" w:rsidRPr="00B10BFA" w:rsidP="00B10BFA">
            <w:pPr>
              <w:pStyle w:val="BodyText"/>
            </w:pPr>
            <w:r w:rsidRPr="00B10BFA">
              <w:t>3.3 Recommend changes and/or additions to the charge</w:t>
            </w:r>
          </w:p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3.4 Monitor the preparation of the charge including checking for contaminants</w:t>
            </w:r>
          </w:p>
        </w:tc>
      </w:tr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4. Monitor furnace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t>4.1 Check that the furnace is in good operational condition and that appropriate lining is present</w:t>
            </w:r>
          </w:p>
          <w:p w:rsidR="00000000" w:rsidRPr="00B10BFA" w:rsidP="00B10BFA">
            <w:pPr>
              <w:pStyle w:val="BodyText"/>
            </w:pPr>
            <w:r w:rsidRPr="00B10BFA">
              <w:t>4.2 Identify need for maintenance and/or repairs and organise accordingly</w:t>
            </w:r>
          </w:p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4.3 Monitor a melt to ensure the product meets specification</w:t>
            </w:r>
          </w:p>
        </w:tc>
      </w:tr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5. Monitor pouring of</w:t>
            </w:r>
            <w:r w:rsidRPr="00B10BFA">
              <w:t xml:space="preserve"> molten metal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t>5.1 Check pouring is to procedures</w:t>
            </w:r>
          </w:p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5.2 Take required samples for analysis</w:t>
            </w:r>
          </w:p>
        </w:tc>
      </w:tr>
      <w:tr w:rsidTr="000053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6. Control hazards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BodyText"/>
            </w:pPr>
            <w:r w:rsidRPr="00B10BFA">
              <w:t>6.1 Identify hazards in the metal melting and pouring process</w:t>
            </w:r>
          </w:p>
          <w:p w:rsidR="00000000" w:rsidRPr="00B10BFA" w:rsidP="00B10BFA">
            <w:pPr>
              <w:pStyle w:val="BodyText"/>
            </w:pPr>
            <w:r w:rsidRPr="00B10BFA">
              <w:t>6.2 Assess the risks arising from those hazards</w:t>
            </w:r>
          </w:p>
          <w:p w:rsidR="00000000" w:rsidRPr="00B10BFA" w:rsidP="00B10BFA">
            <w:pPr>
              <w:pStyle w:val="BodyText"/>
            </w:pPr>
            <w:r w:rsidRPr="00B10BFA">
              <w:t>6.3 Implement procedures to control th</w:t>
            </w:r>
            <w:r w:rsidRPr="00B10BFA">
              <w:t>ose hazards in line with procedures and duty of care</w:t>
            </w:r>
          </w:p>
        </w:tc>
      </w:tr>
    </w:tbl>
    <w:p w:rsidR="00000000" w:rsidRPr="00B10BFA" w:rsidP="00B10BFA">
      <w:pPr>
        <w:pStyle w:val="BodyText"/>
      </w:pPr>
    </w:p>
    <w:p w:rsidR="00000000" w:rsidRPr="00B10BFA" w:rsidP="00B10BFA">
      <w:pPr>
        <w:pStyle w:val="AllowPageBreak"/>
      </w:pPr>
    </w:p>
    <w:p w:rsidR="00000000" w:rsidRPr="00B10BFA" w:rsidP="00B10BFA">
      <w:pPr>
        <w:pStyle w:val="Heading1"/>
      </w:pPr>
      <w:bookmarkStart w:id="6" w:name="O_949792"/>
      <w:bookmarkEnd w:id="6"/>
      <w:r w:rsidRPr="00B10BFA">
        <w:t>Foundation Skills</w:t>
      </w:r>
    </w:p>
    <w:p w:rsidR="00000000" w:rsidRPr="00B10BFA" w:rsidP="00005383">
      <w:pPr>
        <w:pStyle w:val="BodyText"/>
      </w:pPr>
      <w:r w:rsidRPr="00B10BFA">
        <w:t>This section describes those language, literacy, numeracy and employment skills that are essential to performance.</w:t>
      </w:r>
    </w:p>
    <w:p w:rsidR="00000000" w:rsidRPr="00B10BFA" w:rsidP="00005383">
      <w:pPr>
        <w:pStyle w:val="BodyText"/>
      </w:pPr>
      <w:r w:rsidRPr="00B10BFA">
        <w:t>Foundation skills essential to performance are expl</w:t>
      </w:r>
      <w:r w:rsidRPr="00B10BFA">
        <w:t>icit in the performance criteria of this unit of competency.</w:t>
      </w:r>
    </w:p>
    <w:p w:rsidR="00000000" w:rsidRPr="00B10BFA" w:rsidP="00B10BFA">
      <w:pPr>
        <w:pStyle w:val="Heading1"/>
      </w:pPr>
      <w:bookmarkStart w:id="7" w:name="O_949791"/>
      <w:bookmarkEnd w:id="7"/>
      <w:r w:rsidRPr="00B10BF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10BF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 xml:space="preserve">This field allows for different work environments and conditions that may affect performance. Essential operating conditions that may be present </w:t>
            </w:r>
            <w:r w:rsidRPr="00B10BFA">
              <w:t>(depending on the work situation, needs of the candidate, accessibility of the item, and local industry and regional contexts) are included.</w:t>
            </w:r>
          </w:p>
        </w:tc>
      </w:tr>
      <w:tr w:rsidTr="00B10BF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Moulds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ListBullet"/>
            </w:pPr>
            <w:r w:rsidRPr="00B10BFA">
              <w:t>sand</w:t>
            </w:r>
          </w:p>
          <w:p w:rsidR="00000000" w:rsidRPr="00B10BFA" w:rsidP="00B10BFA">
            <w:pPr>
              <w:pStyle w:val="ListBullet"/>
            </w:pPr>
            <w:r w:rsidRPr="00B10BFA">
              <w:t>die</w:t>
            </w:r>
          </w:p>
          <w:p w:rsidR="00000000" w:rsidP="00B10BFA">
            <w:pPr>
              <w:pStyle w:val="ListBullet"/>
              <w:rPr>
                <w:lang w:val="en-NZ"/>
              </w:rPr>
            </w:pPr>
            <w:r w:rsidRPr="00B10BFA">
              <w:t>investment.</w:t>
            </w:r>
          </w:p>
        </w:tc>
      </w:tr>
      <w:tr w:rsidTr="00B10BF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Material specification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ListBullet"/>
            </w:pPr>
            <w:r w:rsidRPr="00B10BFA">
              <w:t>ferrous metals</w:t>
            </w:r>
          </w:p>
          <w:p w:rsidR="00000000" w:rsidRPr="00B10BFA" w:rsidP="00B10BFA">
            <w:pPr>
              <w:pStyle w:val="ListBullet"/>
            </w:pPr>
            <w:r w:rsidRPr="00B10BFA">
              <w:t>ferrous alloys</w:t>
            </w:r>
          </w:p>
          <w:p w:rsidR="00000000" w:rsidP="00B10BFA">
            <w:pPr>
              <w:pStyle w:val="ListBullet"/>
              <w:rPr>
                <w:lang w:val="en-NZ"/>
              </w:rPr>
            </w:pPr>
            <w:r w:rsidRPr="00B10BFA">
              <w:t>contaminants.</w:t>
            </w:r>
          </w:p>
        </w:tc>
      </w:tr>
      <w:tr w:rsidTr="00B10BF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FA">
            <w:pPr>
              <w:pStyle w:val="BodyText"/>
              <w:rPr>
                <w:lang w:val="en-NZ"/>
              </w:rPr>
            </w:pPr>
            <w:r w:rsidRPr="00B10BFA">
              <w:t>Contaminants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FA" w:rsidP="00B10BFA">
            <w:pPr>
              <w:pStyle w:val="ListBullet"/>
            </w:pPr>
            <w:r w:rsidRPr="00B10BFA">
              <w:t>non-specified metal</w:t>
            </w:r>
          </w:p>
          <w:p w:rsidR="00000000" w:rsidRPr="00B10BFA" w:rsidP="00B10BFA">
            <w:pPr>
              <w:pStyle w:val="ListBullet"/>
            </w:pPr>
            <w:r w:rsidRPr="00B10BFA">
              <w:t>rubber</w:t>
            </w:r>
          </w:p>
          <w:p w:rsidR="00000000" w:rsidRPr="00B10BFA" w:rsidP="00B10BFA">
            <w:pPr>
              <w:pStyle w:val="ListBullet"/>
            </w:pPr>
            <w:r w:rsidRPr="00B10BFA">
              <w:t>grease</w:t>
            </w:r>
          </w:p>
          <w:p w:rsidR="00000000" w:rsidRPr="00B10BFA" w:rsidP="00B10BFA">
            <w:pPr>
              <w:pStyle w:val="ListBullet"/>
            </w:pPr>
            <w:r w:rsidRPr="00B10BFA">
              <w:t>water</w:t>
            </w:r>
          </w:p>
          <w:p w:rsidR="00000000" w:rsidRPr="00B10BFA" w:rsidP="00B10BFA">
            <w:pPr>
              <w:pStyle w:val="ListBullet"/>
            </w:pPr>
            <w:r w:rsidRPr="00B10BFA">
              <w:t>paint and non-metallics</w:t>
            </w:r>
          </w:p>
          <w:p w:rsidR="00000000" w:rsidRPr="00B10BFA" w:rsidP="00B10BFA">
            <w:pPr>
              <w:pStyle w:val="ListBullet"/>
            </w:pPr>
            <w:r w:rsidRPr="00B10BFA">
              <w:t xml:space="preserve">closed containers or pipes </w:t>
            </w:r>
          </w:p>
          <w:p w:rsidR="00000000" w:rsidRPr="00B10BFA" w:rsidP="00B10BFA">
            <w:pPr>
              <w:pStyle w:val="ListBullet"/>
            </w:pPr>
            <w:r w:rsidRPr="00B10BFA">
              <w:t>pressure containers including aerosols.</w:t>
            </w:r>
          </w:p>
        </w:tc>
      </w:tr>
    </w:tbl>
    <w:p w:rsidR="00000000" w:rsidRPr="00B10BFA" w:rsidP="00B10BFA">
      <w:pPr>
        <w:pStyle w:val="BodyText"/>
      </w:pPr>
    </w:p>
    <w:p w:rsidR="00000000" w:rsidRPr="00B10BFA" w:rsidP="00B10BFA">
      <w:pPr>
        <w:pStyle w:val="AllowPageBreak"/>
      </w:pPr>
    </w:p>
    <w:p w:rsidR="00000000" w:rsidRPr="00B10BFA" w:rsidP="00B10BFA">
      <w:pPr>
        <w:pStyle w:val="Heading1"/>
      </w:pPr>
      <w:bookmarkStart w:id="8" w:name="O_949790"/>
      <w:bookmarkEnd w:id="8"/>
      <w:r w:rsidRPr="00B10BFA">
        <w:t>Unit Mapping Information</w:t>
      </w:r>
    </w:p>
    <w:p w:rsidR="00005383" w:rsidP="00005383">
      <w:pPr>
        <w:pStyle w:val="BodyText"/>
      </w:pPr>
      <w:r w:rsidRPr="00B10BFA">
        <w:t>Release 1. Supersedes and is equivalent to MSATCM303A Monitor non-ferrous melting and casting processes.</w:t>
      </w:r>
    </w:p>
    <w:p w:rsidR="00000000" w:rsidRPr="00B10BFA" w:rsidP="00B10BFA">
      <w:pPr>
        <w:pStyle w:val="Heading1"/>
      </w:pPr>
      <w:bookmarkStart w:id="9" w:name="O_949783"/>
      <w:bookmarkEnd w:id="9"/>
      <w:r w:rsidRPr="00B10BFA">
        <w:t>Links</w:t>
      </w:r>
    </w:p>
    <w:p w:rsidR="00000000" w:rsidRPr="00B10BFA" w:rsidP="00005383">
      <w:pPr>
        <w:pStyle w:val="BodyText"/>
      </w:pPr>
      <w:r w:rsidRPr="00B10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53EA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0BFA" w:rsidP="00B10BFA"/>
    <w:sectPr w:rsidSect="00B10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FA" w:rsidRPr="00005383" w:rsidP="00005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3" w:rsidP="00B10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383" w:rsidP="00B10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5383" w:rsidP="00B10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BFA" w:rsidRPr="00005383" w:rsidP="00005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3" w:rsidRPr="002D2AF8" w:rsidP="00B10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MEM48003 Monitor nonferrous melting and casting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5383" w:rsidP="00B10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EE0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6A6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BFA"/>
  </w:style>
  <w:style w:type="character" w:customStyle="1" w:styleId="Heading1Char">
    <w:name w:val="Heading 1 Char"/>
    <w:basedOn w:val="DefaultParagraphFont"/>
    <w:link w:val="Heading1"/>
    <w:rsid w:val="00B10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B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BFA"/>
    <w:rPr>
      <w:b/>
      <w:spacing w:val="0"/>
    </w:rPr>
  </w:style>
  <w:style w:type="character" w:styleId="Emphasis">
    <w:name w:val="Emphasis"/>
    <w:basedOn w:val="DefaultParagraphFont"/>
    <w:qFormat/>
    <w:rsid w:val="00B10BFA"/>
    <w:rPr>
      <w:i/>
    </w:rPr>
  </w:style>
  <w:style w:type="paragraph" w:customStyle="1" w:styleId="SuperHeading">
    <w:name w:val="SuperHeading"/>
    <w:basedOn w:val="Normal"/>
    <w:rsid w:val="00B10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B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B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BFA"/>
  </w:style>
  <w:style w:type="paragraph" w:styleId="TableofFigures">
    <w:name w:val="table of figures"/>
    <w:basedOn w:val="Normal"/>
    <w:next w:val="Normal"/>
    <w:semiHidden/>
    <w:rsid w:val="00B10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B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BFA"/>
    <w:rPr>
      <w:rFonts w:ascii="Wingdings" w:hAnsi="Wingdings"/>
    </w:rPr>
  </w:style>
  <w:style w:type="paragraph" w:customStyle="1" w:styleId="TableHeading">
    <w:name w:val="Table Heading"/>
    <w:basedOn w:val="HeadingBase"/>
    <w:rsid w:val="00B10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BFA"/>
    <w:rPr>
      <w:color w:val="0033CC"/>
      <w:u w:val="none"/>
    </w:rPr>
  </w:style>
  <w:style w:type="paragraph" w:customStyle="1" w:styleId="BodyTextRight">
    <w:name w:val="Body Text Right"/>
    <w:basedOn w:val="BodyText"/>
    <w:rsid w:val="00B10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B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BFA"/>
    <w:rPr>
      <w:sz w:val="32"/>
    </w:rPr>
  </w:style>
  <w:style w:type="paragraph" w:customStyle="1" w:styleId="HeadingProcedure">
    <w:name w:val="Heading Procedure"/>
    <w:basedOn w:val="HeadingBase"/>
    <w:next w:val="Normal"/>
    <w:rsid w:val="00B10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BFA"/>
    <w:pPr>
      <w:spacing w:before="60" w:after="60"/>
    </w:pPr>
  </w:style>
  <w:style w:type="paragraph" w:styleId="ListContinue">
    <w:name w:val="List Continue"/>
    <w:basedOn w:val="List"/>
    <w:rsid w:val="00B10BFA"/>
    <w:pPr>
      <w:ind w:firstLine="0"/>
    </w:pPr>
  </w:style>
  <w:style w:type="paragraph" w:customStyle="1" w:styleId="ListNote">
    <w:name w:val="List Note"/>
    <w:basedOn w:val="List"/>
    <w:rsid w:val="00B10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BFA"/>
    <w:rPr>
      <w:rFonts w:ascii="Courier New" w:hAnsi="Courier New"/>
    </w:rPr>
  </w:style>
  <w:style w:type="paragraph" w:customStyle="1" w:styleId="NoteBullet">
    <w:name w:val="Note Bullet"/>
    <w:basedOn w:val="Note"/>
    <w:rsid w:val="00B10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B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BFA"/>
    <w:rPr>
      <w:b/>
      <w:smallCaps/>
    </w:rPr>
  </w:style>
  <w:style w:type="paragraph" w:customStyle="1" w:styleId="TableListNumber">
    <w:name w:val="Table List Number"/>
    <w:basedOn w:val="ListNumber"/>
    <w:rsid w:val="00B10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BFA"/>
    <w:pPr>
      <w:numPr>
        <w:numId w:val="8"/>
      </w:numPr>
    </w:pPr>
  </w:style>
  <w:style w:type="paragraph" w:customStyle="1" w:styleId="ListAlpha2">
    <w:name w:val="List Alpha 2"/>
    <w:basedOn w:val="List2"/>
    <w:rsid w:val="00B10BFA"/>
    <w:pPr>
      <w:numPr>
        <w:numId w:val="7"/>
      </w:numPr>
    </w:pPr>
  </w:style>
  <w:style w:type="paragraph" w:styleId="List2">
    <w:name w:val="List 2"/>
    <w:basedOn w:val="BodyText"/>
    <w:rsid w:val="00B10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B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B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BFA"/>
    <w:pPr>
      <w:numPr>
        <w:numId w:val="3"/>
      </w:numPr>
    </w:pPr>
  </w:style>
  <w:style w:type="paragraph" w:styleId="ListContinue2">
    <w:name w:val="List Continue 2"/>
    <w:basedOn w:val="List2"/>
    <w:rsid w:val="00B10BFA"/>
    <w:pPr>
      <w:ind w:firstLine="0"/>
    </w:pPr>
  </w:style>
  <w:style w:type="paragraph" w:styleId="ListContinue3">
    <w:name w:val="List Continue 3"/>
    <w:basedOn w:val="List3"/>
    <w:rsid w:val="00B10BFA"/>
    <w:pPr>
      <w:ind w:left="1021" w:firstLine="0"/>
    </w:pPr>
  </w:style>
  <w:style w:type="paragraph" w:styleId="ListContinue4">
    <w:name w:val="List Continue 4"/>
    <w:basedOn w:val="List4"/>
    <w:rsid w:val="00B10BFA"/>
    <w:pPr>
      <w:ind w:firstLine="0"/>
    </w:pPr>
  </w:style>
  <w:style w:type="paragraph" w:styleId="ListContinue5">
    <w:name w:val="List Continue 5"/>
    <w:basedOn w:val="List5"/>
    <w:rsid w:val="00B10BFA"/>
    <w:pPr>
      <w:ind w:firstLine="0"/>
    </w:pPr>
  </w:style>
  <w:style w:type="paragraph" w:styleId="ListNumber3">
    <w:name w:val="List Number 3"/>
    <w:basedOn w:val="List3"/>
    <w:rsid w:val="00B10BFA"/>
    <w:pPr>
      <w:numPr>
        <w:numId w:val="4"/>
      </w:numPr>
    </w:pPr>
  </w:style>
  <w:style w:type="paragraph" w:styleId="ListNumber4">
    <w:name w:val="List Number 4"/>
    <w:basedOn w:val="List4"/>
    <w:rsid w:val="00B10BFA"/>
    <w:pPr>
      <w:numPr>
        <w:numId w:val="5"/>
      </w:numPr>
    </w:pPr>
  </w:style>
  <w:style w:type="paragraph" w:styleId="ListNumber5">
    <w:name w:val="List Number 5"/>
    <w:basedOn w:val="List5"/>
    <w:rsid w:val="00B10BFA"/>
    <w:pPr>
      <w:numPr>
        <w:numId w:val="6"/>
      </w:numPr>
    </w:pPr>
  </w:style>
  <w:style w:type="paragraph" w:styleId="BlockText">
    <w:name w:val="Block Text"/>
    <w:basedOn w:val="Normal"/>
    <w:rsid w:val="00B10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BFA"/>
    <w:rPr>
      <w:sz w:val="16"/>
      <w:vertAlign w:val="superscript"/>
    </w:rPr>
  </w:style>
  <w:style w:type="character" w:customStyle="1" w:styleId="Symbols">
    <w:name w:val="Symbols"/>
    <w:basedOn w:val="DefaultParagraphFont"/>
    <w:rsid w:val="00B10BFA"/>
    <w:rPr>
      <w:rFonts w:ascii="Symbol" w:hAnsi="Symbol"/>
    </w:rPr>
  </w:style>
  <w:style w:type="character" w:customStyle="1" w:styleId="MenuOptions">
    <w:name w:val="Menu Options"/>
    <w:basedOn w:val="DefaultParagraphFont"/>
    <w:rsid w:val="00B10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BFA"/>
    <w:rPr>
      <w:b/>
    </w:rPr>
  </w:style>
  <w:style w:type="character" w:customStyle="1" w:styleId="Underlined">
    <w:name w:val="Underlined"/>
    <w:basedOn w:val="DefaultParagraphFont"/>
    <w:rsid w:val="00B10BFA"/>
    <w:rPr>
      <w:u w:val="single"/>
    </w:rPr>
  </w:style>
  <w:style w:type="paragraph" w:customStyle="1" w:styleId="TableBodyTextRight">
    <w:name w:val="Table Body Text Right"/>
    <w:basedOn w:val="TableBodyText"/>
    <w:rsid w:val="00B10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BFA"/>
    <w:rPr>
      <w:sz w:val="18"/>
    </w:rPr>
  </w:style>
  <w:style w:type="paragraph" w:customStyle="1" w:styleId="BodySmallRight">
    <w:name w:val="Body Small Right"/>
    <w:basedOn w:val="BodyTextRight"/>
    <w:rsid w:val="00B10BFA"/>
    <w:rPr>
      <w:sz w:val="18"/>
      <w:szCs w:val="18"/>
    </w:rPr>
  </w:style>
  <w:style w:type="paragraph" w:customStyle="1" w:styleId="MarginEdition">
    <w:name w:val="Margin Edition"/>
    <w:basedOn w:val="MarginNote"/>
    <w:rsid w:val="00B10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BFA"/>
    <w:rPr>
      <w:sz w:val="2"/>
      <w:szCs w:val="2"/>
    </w:rPr>
  </w:style>
  <w:style w:type="character" w:customStyle="1" w:styleId="Small">
    <w:name w:val="Small"/>
    <w:basedOn w:val="DefaultParagraphFont"/>
    <w:rsid w:val="00B10BFA"/>
    <w:rPr>
      <w:sz w:val="16"/>
    </w:rPr>
  </w:style>
  <w:style w:type="paragraph" w:customStyle="1" w:styleId="WideTable">
    <w:name w:val="Wide Table"/>
    <w:basedOn w:val="Normal"/>
    <w:rsid w:val="00B10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BFA"/>
  </w:style>
  <w:style w:type="paragraph" w:styleId="Quote">
    <w:name w:val="Quote"/>
    <w:basedOn w:val="Heading1"/>
    <w:link w:val="QuoteChar"/>
    <w:qFormat/>
    <w:rsid w:val="00B10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BFA"/>
    <w:pPr>
      <w:pageBreakBefore/>
    </w:pPr>
  </w:style>
  <w:style w:type="paragraph" w:customStyle="1" w:styleId="Border">
    <w:name w:val="Border"/>
    <w:basedOn w:val="Normal"/>
    <w:qFormat/>
    <w:rsid w:val="00B10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BFA"/>
    <w:rPr>
      <w:u w:val="single"/>
    </w:rPr>
  </w:style>
  <w:style w:type="character" w:customStyle="1" w:styleId="BoldandItalics">
    <w:name w:val="Bold and Italics"/>
    <w:qFormat/>
    <w:rsid w:val="00B10BFA"/>
    <w:rPr>
      <w:b/>
      <w:i/>
      <w:u w:val="none"/>
    </w:rPr>
  </w:style>
  <w:style w:type="paragraph" w:styleId="BalloonText">
    <w:name w:val="Balloon Text"/>
    <w:basedOn w:val="Normal"/>
    <w:link w:val="BalloonTextChar"/>
    <w:rsid w:val="00B10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BFA"/>
    <w:pPr>
      <w:spacing w:before="0" w:after="0"/>
    </w:pPr>
  </w:style>
  <w:style w:type="paragraph" w:customStyle="1" w:styleId="BodyTextBold">
    <w:name w:val="Body Text Bold"/>
    <w:basedOn w:val="BodyText"/>
    <w:qFormat/>
    <w:rsid w:val="00B10BFA"/>
    <w:rPr>
      <w:b/>
    </w:rPr>
  </w:style>
  <w:style w:type="character" w:styleId="Hyperlink">
    <w:name w:val="Hyperlink"/>
    <w:basedOn w:val="DefaultParagraphFont"/>
    <w:uiPriority w:val="99"/>
    <w:unhideWhenUsed/>
    <w:rsid w:val="00005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3112</Characters>
  <Application>Microsoft Office Word</Application>
  <DocSecurity>0</DocSecurity>
  <Lines>115</Lines>
  <Paragraphs>81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MEM48003 Monitor nonferrous melting and casting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