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268" w:rsidP="00401268">
      <w:pPr>
        <w:pStyle w:val="Title"/>
      </w:pPr>
      <w:r>
        <w:fldChar w:fldCharType="begin"/>
      </w:r>
      <w:r>
        <w:instrText xml:space="preserve"> TITLE   \* MERGEFORMAT </w:instrText>
      </w:r>
      <w:r>
        <w:fldChar w:fldCharType="separate"/>
      </w:r>
      <w:r>
        <w:t>MEM48003 Monitor nonferrous melting and casting processes</w:t>
      </w:r>
      <w:r>
        <w:fldChar w:fldCharType="end"/>
      </w:r>
    </w:p>
    <w:p w:rsidR="00401268" w:rsidP="00401268">
      <w:pPr>
        <w:pStyle w:val="Version"/>
        <w:sectPr w:rsidSect="00281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A2E" w:rsidP="00281A2E">
      <w:pPr>
        <w:pStyle w:val="SuperHeading"/>
      </w:pPr>
      <w:r w:rsidRPr="00281A2E">
        <w:t>MEM48003 Monitor nonferrous melting and casting processes</w:t>
      </w:r>
    </w:p>
    <w:p w:rsidR="00000000" w:rsidRPr="00281A2E" w:rsidP="00281A2E">
      <w:pPr>
        <w:pStyle w:val="Heading1"/>
      </w:pPr>
      <w:bookmarkStart w:id="1" w:name="O_949789"/>
      <w:bookmarkEnd w:id="1"/>
      <w:r w:rsidRPr="00281A2E">
        <w:t>Modification History</w:t>
      </w:r>
    </w:p>
    <w:p w:rsidR="00000000" w:rsidRPr="00281A2E" w:rsidP="00401268">
      <w:pPr>
        <w:pStyle w:val="BodyText"/>
      </w:pPr>
      <w:r w:rsidRPr="00281A2E">
        <w:t>Release 1. Supersedes and is equivalent to MSATCM303A Monitor non-ferrous melting and casting processes.</w:t>
      </w:r>
    </w:p>
    <w:p w:rsidR="00000000" w:rsidRPr="00281A2E" w:rsidP="00281A2E">
      <w:pPr>
        <w:pStyle w:val="Heading1"/>
      </w:pPr>
      <w:bookmarkStart w:id="2" w:name="O_949797"/>
      <w:bookmarkEnd w:id="2"/>
      <w:r w:rsidRPr="00281A2E">
        <w:t>Application</w:t>
      </w:r>
    </w:p>
    <w:p w:rsidR="00000000" w:rsidRPr="00281A2E" w:rsidP="00401268">
      <w:pPr>
        <w:pStyle w:val="BodyText"/>
      </w:pPr>
      <w:r w:rsidRPr="00281A2E">
        <w:t>This unit of competency defines the knowledge and skills required to undertake the me</w:t>
      </w:r>
      <w:r w:rsidRPr="00281A2E">
        <w:t>lting and casting of nonferrous alloys.</w:t>
      </w:r>
    </w:p>
    <w:p w:rsidR="00000000" w:rsidRPr="00281A2E" w:rsidP="00401268">
      <w:pPr>
        <w:pStyle w:val="BodyText"/>
      </w:pPr>
      <w:r w:rsidRPr="00281A2E">
        <w:t>It applies where a technician will be required to monitor a nonferrous melting and casting operation, ensuring that correct quantities are used and correct procedures followed.</w:t>
      </w:r>
    </w:p>
    <w:p w:rsidR="00000000" w:rsidRPr="00281A2E" w:rsidP="00401268">
      <w:pPr>
        <w:pStyle w:val="BodyText"/>
      </w:pPr>
      <w:r w:rsidRPr="00281A2E">
        <w:t>No licensing, legislative or certificat</w:t>
      </w:r>
      <w:r w:rsidRPr="00281A2E">
        <w:t>ion requirements apply to this unit at the time of publication.</w:t>
      </w:r>
    </w:p>
    <w:p w:rsidR="00000000" w:rsidRPr="00281A2E" w:rsidP="00281A2E">
      <w:pPr>
        <w:pStyle w:val="Heading1"/>
      </w:pPr>
      <w:bookmarkStart w:id="3" w:name="O_949796"/>
      <w:bookmarkEnd w:id="3"/>
      <w:r w:rsidRPr="00281A2E">
        <w:t>Pre-requisite Unit</w:t>
      </w:r>
    </w:p>
    <w:p w:rsidR="00000000" w:rsidRPr="00281A2E" w:rsidP="00401268">
      <w:pPr>
        <w:pStyle w:val="BodyText"/>
      </w:pPr>
      <w:r w:rsidRPr="00281A2E">
        <w:t>Nil</w:t>
      </w:r>
    </w:p>
    <w:p w:rsidR="00000000" w:rsidRPr="00281A2E" w:rsidP="00281A2E">
      <w:pPr>
        <w:pStyle w:val="Heading1"/>
      </w:pPr>
      <w:bookmarkStart w:id="4" w:name="O_949795"/>
      <w:bookmarkEnd w:id="4"/>
      <w:r w:rsidRPr="00281A2E">
        <w:t>Competency Field</w:t>
      </w:r>
    </w:p>
    <w:p w:rsidR="00000000" w:rsidRPr="00281A2E" w:rsidP="00401268">
      <w:pPr>
        <w:pStyle w:val="BodyText"/>
      </w:pPr>
      <w:r w:rsidRPr="00281A2E">
        <w:t>Metallurgy</w:t>
      </w:r>
    </w:p>
    <w:p w:rsidR="00000000" w:rsidRPr="00281A2E" w:rsidP="00281A2E">
      <w:pPr>
        <w:pStyle w:val="Heading1"/>
      </w:pPr>
      <w:bookmarkStart w:id="5" w:name="O_949793"/>
      <w:bookmarkEnd w:id="5"/>
      <w:r w:rsidRPr="00281A2E">
        <w:t>Elements and Performance Criteria</w:t>
      </w:r>
    </w:p>
    <w:tbl>
      <w:tblPr>
        <w:tblW w:w="9639" w:type="dxa"/>
        <w:tblLayout w:type="fixed"/>
        <w:tblCellMar>
          <w:left w:w="62" w:type="dxa"/>
          <w:right w:w="62" w:type="dxa"/>
        </w:tblCellMar>
        <w:tblLook w:val="0000"/>
      </w:tblPr>
      <w:tblGrid>
        <w:gridCol w:w="2531"/>
        <w:gridCol w:w="7108"/>
      </w:tblGrid>
      <w:tr w:rsidTr="0040126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1A2E" w:rsidP="00281A2E">
            <w:pPr>
              <w:pStyle w:val="BodyText"/>
            </w:pPr>
            <w:r w:rsidRPr="00281A2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1A2E">
            <w:pPr>
              <w:pStyle w:val="BodyText"/>
              <w:rPr>
                <w:lang w:val="en-NZ"/>
              </w:rPr>
            </w:pPr>
            <w:r w:rsidRPr="00281A2E">
              <w:rPr>
                <w:rStyle w:val="SpecialBold"/>
              </w:rPr>
              <w:t>Performance Criteria</w:t>
            </w:r>
          </w:p>
        </w:tc>
      </w:tr>
      <w:tr w:rsidTr="0040126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rPr>
                <w:rStyle w:val="Emphasis"/>
              </w:rPr>
              <w:t xml:space="preserve">Elements describe the </w:t>
            </w:r>
            <w:r w:rsidRPr="00281A2E">
              <w:t>ess</w:t>
            </w:r>
            <w:r w:rsidRPr="00281A2E">
              <w:t xml:space="preserve">ential </w:t>
            </w:r>
            <w:r w:rsidRPr="00281A2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rPr>
                <w:rStyle w:val="Emphasis"/>
              </w:rPr>
              <w:t>Performance criteria describe the performance needed to demonstrate achievement of the element.</w:t>
            </w:r>
          </w:p>
        </w:tc>
      </w:tr>
      <w:tr w:rsidTr="004012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t>1.1 Follow standard operating procedures (SOPs)</w:t>
            </w:r>
          </w:p>
          <w:p w:rsidR="00000000" w:rsidRPr="00281A2E" w:rsidP="00281A2E">
            <w:pPr>
              <w:pStyle w:val="BodyText"/>
            </w:pPr>
            <w:r w:rsidRPr="00281A2E">
              <w:t>1.2 Comply with work health and safety (WHS) r</w:t>
            </w:r>
            <w:r w:rsidRPr="00281A2E">
              <w:t>equirements at all times</w:t>
            </w:r>
          </w:p>
          <w:p w:rsidR="00000000" w:rsidRPr="00281A2E" w:rsidP="00281A2E">
            <w:pPr>
              <w:pStyle w:val="BodyText"/>
            </w:pPr>
            <w:r w:rsidRPr="00281A2E">
              <w:t>1.3 Use appropriate personal protective equipment (PPE) in accordance with SOPs</w:t>
            </w:r>
          </w:p>
          <w:p w:rsidR="00000000" w:rsidP="00281A2E">
            <w:pPr>
              <w:pStyle w:val="BodyText"/>
              <w:rPr>
                <w:lang w:val="en-NZ"/>
              </w:rPr>
            </w:pPr>
            <w:r w:rsidRPr="00281A2E">
              <w:t>1.4 Identify job requirements from work information</w:t>
            </w:r>
          </w:p>
        </w:tc>
      </w:tr>
      <w:tr w:rsidTr="004012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2. Identify specifications for required casting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t>2.1 Identify required material specifications</w:t>
            </w:r>
          </w:p>
          <w:p w:rsidR="00000000" w:rsidRPr="00281A2E" w:rsidP="00281A2E">
            <w:pPr>
              <w:pStyle w:val="BodyText"/>
            </w:pPr>
            <w:r w:rsidRPr="00281A2E">
              <w:t xml:space="preserve">2.2 </w:t>
            </w:r>
            <w:r w:rsidRPr="00281A2E">
              <w:t>Identify mould requirements</w:t>
            </w:r>
          </w:p>
          <w:p w:rsidR="00000000" w:rsidP="00281A2E">
            <w:pPr>
              <w:pStyle w:val="BodyText"/>
              <w:rPr>
                <w:lang w:val="en-NZ"/>
              </w:rPr>
            </w:pPr>
            <w:r w:rsidRPr="00281A2E">
              <w:t>2.3 Identify any special appropriate requirements</w:t>
            </w:r>
          </w:p>
        </w:tc>
      </w:tr>
      <w:tr w:rsidTr="004012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3. Verify metal charges to melting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t>3.1 Select required components to give the required metal specification</w:t>
            </w:r>
          </w:p>
          <w:p w:rsidR="00000000" w:rsidRPr="00281A2E" w:rsidP="00281A2E">
            <w:pPr>
              <w:pStyle w:val="BodyText"/>
            </w:pPr>
            <w:r w:rsidRPr="00281A2E">
              <w:t>3.2 Calculate required charge of each component</w:t>
            </w:r>
          </w:p>
          <w:p w:rsidR="00000000" w:rsidRPr="00281A2E" w:rsidP="00281A2E">
            <w:pPr>
              <w:pStyle w:val="BodyText"/>
            </w:pPr>
            <w:r w:rsidRPr="00281A2E">
              <w:t>3.3 Recommend changes and/or additions to the charge</w:t>
            </w:r>
          </w:p>
          <w:p w:rsidR="00000000" w:rsidP="00281A2E">
            <w:pPr>
              <w:pStyle w:val="BodyText"/>
              <w:rPr>
                <w:lang w:val="en-NZ"/>
              </w:rPr>
            </w:pPr>
            <w:r w:rsidRPr="00281A2E">
              <w:t>3.4 Monitor the preparation of the charge including checking for contaminants</w:t>
            </w:r>
          </w:p>
        </w:tc>
      </w:tr>
      <w:tr w:rsidTr="004012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4. Monitor furnace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t>4.1 Check that the furnace is in good operational condition and that appropriate lining is pres</w:t>
            </w:r>
            <w:r w:rsidRPr="00281A2E">
              <w:t>ent</w:t>
            </w:r>
          </w:p>
          <w:p w:rsidR="00000000" w:rsidRPr="00281A2E" w:rsidP="00281A2E">
            <w:pPr>
              <w:pStyle w:val="BodyText"/>
            </w:pPr>
            <w:r w:rsidRPr="00281A2E">
              <w:t>4.2 Identify need for maintenance and/or repairs and organise accordingly</w:t>
            </w:r>
          </w:p>
          <w:p w:rsidR="00000000" w:rsidP="00281A2E">
            <w:pPr>
              <w:pStyle w:val="BodyText"/>
              <w:rPr>
                <w:lang w:val="en-NZ"/>
              </w:rPr>
            </w:pPr>
            <w:r w:rsidRPr="00281A2E">
              <w:t>4.3 Monitor a melt to ensure the product meets specification</w:t>
            </w:r>
          </w:p>
        </w:tc>
      </w:tr>
      <w:tr w:rsidTr="004012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5. Monitor pouring of molten metal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t>5.1 Check pouring is to procedures</w:t>
            </w:r>
          </w:p>
          <w:p w:rsidR="00000000" w:rsidP="00281A2E">
            <w:pPr>
              <w:pStyle w:val="BodyText"/>
              <w:rPr>
                <w:lang w:val="en-NZ"/>
              </w:rPr>
            </w:pPr>
            <w:r w:rsidRPr="00281A2E">
              <w:t>5.2 Take required samples for analysis</w:t>
            </w:r>
          </w:p>
        </w:tc>
      </w:tr>
      <w:tr w:rsidTr="004012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6. Con</w:t>
            </w:r>
            <w:r w:rsidRPr="00281A2E">
              <w:t>trol hazards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BodyText"/>
            </w:pPr>
            <w:r w:rsidRPr="00281A2E">
              <w:t>6.1 Identify hazards in the metal melting and pouring process</w:t>
            </w:r>
          </w:p>
          <w:p w:rsidR="00000000" w:rsidRPr="00281A2E" w:rsidP="00281A2E">
            <w:pPr>
              <w:pStyle w:val="BodyText"/>
            </w:pPr>
            <w:r w:rsidRPr="00281A2E">
              <w:t>6.2 Assess the risks arising from those hazards</w:t>
            </w:r>
          </w:p>
          <w:p w:rsidR="00000000" w:rsidRPr="00281A2E" w:rsidP="00281A2E">
            <w:pPr>
              <w:pStyle w:val="BodyText"/>
            </w:pPr>
            <w:r w:rsidRPr="00281A2E">
              <w:t>6.3 Implement procedures to control those hazards in line with procedures and duty of care</w:t>
            </w:r>
          </w:p>
        </w:tc>
      </w:tr>
    </w:tbl>
    <w:p w:rsidR="00000000" w:rsidRPr="00281A2E" w:rsidP="00281A2E">
      <w:pPr>
        <w:pStyle w:val="BodyText"/>
      </w:pPr>
    </w:p>
    <w:p w:rsidR="00000000" w:rsidRPr="00281A2E" w:rsidP="00281A2E">
      <w:pPr>
        <w:pStyle w:val="AllowPageBreak"/>
      </w:pPr>
    </w:p>
    <w:p w:rsidR="00000000" w:rsidRPr="00281A2E" w:rsidP="00281A2E">
      <w:pPr>
        <w:pStyle w:val="Heading1"/>
      </w:pPr>
      <w:bookmarkStart w:id="6" w:name="O_949792"/>
      <w:bookmarkEnd w:id="6"/>
      <w:r w:rsidRPr="00281A2E">
        <w:t>Foundation Skills</w:t>
      </w:r>
    </w:p>
    <w:p w:rsidR="00000000" w:rsidRPr="00281A2E" w:rsidP="00401268">
      <w:pPr>
        <w:pStyle w:val="BodyText"/>
      </w:pPr>
      <w:r w:rsidRPr="00281A2E">
        <w:t xml:space="preserve">This </w:t>
      </w:r>
      <w:r w:rsidRPr="00281A2E">
        <w:t>section describes those language, literacy, numeracy and employment skills that are essential to performance.</w:t>
      </w:r>
    </w:p>
    <w:p w:rsidR="00000000" w:rsidRPr="00281A2E" w:rsidP="00401268">
      <w:pPr>
        <w:pStyle w:val="BodyText"/>
      </w:pPr>
      <w:r w:rsidRPr="00281A2E">
        <w:t>Foundation skills essential to performance are explicit in the performance criteria of this unit of competency.</w:t>
      </w:r>
    </w:p>
    <w:p w:rsidR="00000000" w:rsidRPr="00281A2E" w:rsidP="00281A2E">
      <w:pPr>
        <w:pStyle w:val="Heading1"/>
      </w:pPr>
      <w:bookmarkStart w:id="7" w:name="O_949791"/>
      <w:bookmarkEnd w:id="7"/>
      <w:r w:rsidRPr="00281A2E">
        <w:t>Range of Conditions</w:t>
      </w:r>
    </w:p>
    <w:tbl>
      <w:tblPr>
        <w:tblW w:w="9638" w:type="dxa"/>
        <w:tblLayout w:type="fixed"/>
        <w:tblCellMar>
          <w:left w:w="62" w:type="dxa"/>
          <w:right w:w="62" w:type="dxa"/>
        </w:tblCellMar>
        <w:tblLook w:val="0000"/>
      </w:tblPr>
      <w:tblGrid>
        <w:gridCol w:w="2758"/>
        <w:gridCol w:w="6880"/>
      </w:tblGrid>
      <w:tr w:rsidTr="00281A2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This field allows for different work environments and conditions that may affect performance. Essential operating conditions that may be present (depending on the work situation, needs of the candidate, accessibility of the item, and lo</w:t>
            </w:r>
            <w:r w:rsidRPr="00281A2E">
              <w:t>cal industry and regional contexts) are included.</w:t>
            </w:r>
          </w:p>
        </w:tc>
      </w:tr>
      <w:tr w:rsidTr="00281A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Moulds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ListBullet"/>
            </w:pPr>
            <w:r w:rsidRPr="00281A2E">
              <w:t>sand</w:t>
            </w:r>
          </w:p>
          <w:p w:rsidR="00000000" w:rsidRPr="00281A2E" w:rsidP="00281A2E">
            <w:pPr>
              <w:pStyle w:val="ListBullet"/>
            </w:pPr>
            <w:r w:rsidRPr="00281A2E">
              <w:t>die</w:t>
            </w:r>
          </w:p>
          <w:p w:rsidR="00000000" w:rsidP="00281A2E">
            <w:pPr>
              <w:pStyle w:val="ListBullet"/>
              <w:rPr>
                <w:lang w:val="en-NZ"/>
              </w:rPr>
            </w:pPr>
            <w:r w:rsidRPr="00281A2E">
              <w:t>investment.</w:t>
            </w:r>
          </w:p>
        </w:tc>
      </w:tr>
      <w:tr w:rsidTr="00281A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Material specification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ListBullet"/>
            </w:pPr>
            <w:r w:rsidRPr="00281A2E">
              <w:t>ferrous metals</w:t>
            </w:r>
          </w:p>
          <w:p w:rsidR="00000000" w:rsidRPr="00281A2E" w:rsidP="00281A2E">
            <w:pPr>
              <w:pStyle w:val="ListBullet"/>
            </w:pPr>
            <w:r w:rsidRPr="00281A2E">
              <w:t>ferrous alloys</w:t>
            </w:r>
          </w:p>
          <w:p w:rsidR="00000000" w:rsidP="00281A2E">
            <w:pPr>
              <w:pStyle w:val="ListBullet"/>
              <w:rPr>
                <w:lang w:val="en-NZ"/>
              </w:rPr>
            </w:pPr>
            <w:r w:rsidRPr="00281A2E">
              <w:t>contaminants.</w:t>
            </w:r>
          </w:p>
        </w:tc>
      </w:tr>
      <w:tr w:rsidTr="00281A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A2E">
            <w:pPr>
              <w:pStyle w:val="BodyText"/>
              <w:rPr>
                <w:lang w:val="en-NZ"/>
              </w:rPr>
            </w:pPr>
            <w:r w:rsidRPr="00281A2E">
              <w:t>Contaminants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A2E" w:rsidP="00281A2E">
            <w:pPr>
              <w:pStyle w:val="ListBullet"/>
            </w:pPr>
            <w:r w:rsidRPr="00281A2E">
              <w:t>non-specified metal</w:t>
            </w:r>
          </w:p>
          <w:p w:rsidR="00000000" w:rsidRPr="00281A2E" w:rsidP="00281A2E">
            <w:pPr>
              <w:pStyle w:val="ListBullet"/>
            </w:pPr>
            <w:r w:rsidRPr="00281A2E">
              <w:t>rubber</w:t>
            </w:r>
          </w:p>
          <w:p w:rsidR="00000000" w:rsidRPr="00281A2E" w:rsidP="00281A2E">
            <w:pPr>
              <w:pStyle w:val="ListBullet"/>
            </w:pPr>
            <w:r w:rsidRPr="00281A2E">
              <w:t>grease</w:t>
            </w:r>
          </w:p>
          <w:p w:rsidR="00000000" w:rsidRPr="00281A2E" w:rsidP="00281A2E">
            <w:pPr>
              <w:pStyle w:val="ListBullet"/>
            </w:pPr>
            <w:r w:rsidRPr="00281A2E">
              <w:t>water</w:t>
            </w:r>
          </w:p>
          <w:p w:rsidR="00000000" w:rsidRPr="00281A2E" w:rsidP="00281A2E">
            <w:pPr>
              <w:pStyle w:val="ListBullet"/>
            </w:pPr>
            <w:r w:rsidRPr="00281A2E">
              <w:t>paint and non-metallics</w:t>
            </w:r>
          </w:p>
          <w:p w:rsidR="00000000" w:rsidRPr="00281A2E" w:rsidP="00281A2E">
            <w:pPr>
              <w:pStyle w:val="ListBullet"/>
            </w:pPr>
            <w:r w:rsidRPr="00281A2E">
              <w:t xml:space="preserve">closed containers or pipes </w:t>
            </w:r>
          </w:p>
          <w:p w:rsidR="00000000" w:rsidRPr="00281A2E" w:rsidP="00281A2E">
            <w:pPr>
              <w:pStyle w:val="ListBullet"/>
            </w:pPr>
            <w:r w:rsidRPr="00281A2E">
              <w:t>pressure containers including aerosols.</w:t>
            </w:r>
          </w:p>
        </w:tc>
      </w:tr>
    </w:tbl>
    <w:p w:rsidR="00000000" w:rsidRPr="00281A2E" w:rsidP="00281A2E">
      <w:pPr>
        <w:pStyle w:val="BodyText"/>
      </w:pPr>
    </w:p>
    <w:p w:rsidR="00000000" w:rsidRPr="00281A2E" w:rsidP="00281A2E">
      <w:pPr>
        <w:pStyle w:val="AllowPageBreak"/>
      </w:pPr>
    </w:p>
    <w:p w:rsidR="00000000" w:rsidRPr="00281A2E" w:rsidP="00281A2E">
      <w:pPr>
        <w:pStyle w:val="Heading1"/>
      </w:pPr>
      <w:bookmarkStart w:id="8" w:name="O_949790"/>
      <w:bookmarkEnd w:id="8"/>
      <w:r w:rsidRPr="00281A2E">
        <w:t>Unit Mapping Information</w:t>
      </w:r>
    </w:p>
    <w:p w:rsidR="00401268" w:rsidP="00401268">
      <w:pPr>
        <w:pStyle w:val="BodyText"/>
      </w:pPr>
      <w:r w:rsidRPr="00281A2E">
        <w:t>Release 1. Supersedes and is equivalent to MSATCM303A Monitor non-ferrous melting and casting processes.</w:t>
      </w:r>
    </w:p>
    <w:p w:rsidR="00000000" w:rsidRPr="00281A2E" w:rsidP="00281A2E">
      <w:pPr>
        <w:pStyle w:val="Heading1"/>
      </w:pPr>
      <w:bookmarkStart w:id="9" w:name="O_949783"/>
      <w:bookmarkEnd w:id="9"/>
      <w:r w:rsidRPr="00281A2E">
        <w:t>Links</w:t>
      </w:r>
    </w:p>
    <w:p w:rsidR="00000000" w:rsidRPr="00281A2E" w:rsidP="00401268">
      <w:pPr>
        <w:pStyle w:val="BodyText"/>
      </w:pPr>
      <w:r w:rsidRPr="00281A2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92835">
        <w:rPr>
          <w:rStyle w:val="Hyperlink"/>
        </w:rPr>
        <w:t>https://vetnet.gov.au/Pages/TrainingDocs.aspx?q=b7050d37-5fd0-4740-8f7d-3b7a49c10bb2</w:t>
      </w:r>
      <w:r>
        <w:fldChar w:fldCharType="end"/>
      </w:r>
    </w:p>
    <w:p w:rsidR="00000000" w:rsidRPr="00281A2E" w:rsidP="00401268">
      <w:pPr>
        <w:pStyle w:val="BodyText"/>
        <w:sectPr w:rsidSect="00281A2E">
          <w:headerReference w:type="default" r:id="rId10"/>
          <w:footerReference w:type="default" r:id="rId11"/>
          <w:pgSz w:w="11908" w:h="16833"/>
          <w:pgMar w:top="1702" w:right="1418" w:bottom="1702" w:left="1418" w:header="992" w:footer="992" w:gutter="0"/>
          <w:cols w:space="720"/>
          <w:noEndnote/>
          <w:docGrid w:linePitch="299"/>
        </w:sectPr>
      </w:pPr>
    </w:p>
    <w:p w:rsidR="00000000" w:rsidRPr="00281A2E" w:rsidP="00281A2E">
      <w:pPr>
        <w:pStyle w:val="SuperHeading"/>
      </w:pPr>
      <w:r w:rsidRPr="00281A2E">
        <w:t>Assessment Requirements for MEM48003 Monitor nonferrous melting and casting processes</w:t>
      </w:r>
    </w:p>
    <w:p w:rsidR="00000000" w:rsidRPr="00281A2E" w:rsidP="00281A2E">
      <w:pPr>
        <w:pStyle w:val="Heading1"/>
      </w:pPr>
      <w:bookmarkStart w:id="10" w:name="O_949785"/>
      <w:bookmarkEnd w:id="10"/>
      <w:r w:rsidRPr="00281A2E">
        <w:t>Modification History</w:t>
      </w:r>
    </w:p>
    <w:p w:rsidR="00000000" w:rsidRPr="00281A2E" w:rsidP="00401268">
      <w:pPr>
        <w:pStyle w:val="BodyText"/>
      </w:pPr>
      <w:r w:rsidRPr="00281A2E">
        <w:t>Release 1. Supersedes and is equivalent to MSATCM303A Monitor non-f</w:t>
      </w:r>
      <w:r w:rsidRPr="00281A2E">
        <w:t>errous melting and casting processes.</w:t>
      </w:r>
    </w:p>
    <w:p w:rsidR="00000000" w:rsidRPr="00281A2E" w:rsidP="00281A2E">
      <w:pPr>
        <w:pStyle w:val="Heading1"/>
      </w:pPr>
      <w:bookmarkStart w:id="11" w:name="O_949788"/>
      <w:bookmarkEnd w:id="11"/>
      <w:r w:rsidRPr="00281A2E">
        <w:t>Performance Evidence</w:t>
      </w:r>
    </w:p>
    <w:p w:rsidR="00000000" w:rsidRPr="00281A2E" w:rsidP="00401268">
      <w:pPr>
        <w:pStyle w:val="BodyText"/>
      </w:pPr>
      <w:r w:rsidRPr="00281A2E">
        <w:t>Evidence required to demonstrate competence in this unit must be relevant to and satisfy the requirements of the elements and performance criteria and include:</w:t>
      </w:r>
    </w:p>
    <w:p w:rsidR="00000000" w:rsidRPr="00281A2E" w:rsidP="00281A2E">
      <w:pPr>
        <w:pStyle w:val="ListBullet"/>
      </w:pPr>
      <w:r w:rsidRPr="00281A2E">
        <w:t>following work instructions, standard operating procedures (SOPs) and safe work practices</w:t>
      </w:r>
    </w:p>
    <w:p w:rsidR="00000000" w:rsidRPr="00281A2E" w:rsidP="00281A2E">
      <w:pPr>
        <w:pStyle w:val="ListBullet"/>
      </w:pPr>
      <w:r w:rsidRPr="00281A2E">
        <w:t>identifying and interpreting specifications, safety procedures and codes of practice and/or standards for the required melting and casting processes</w:t>
      </w:r>
    </w:p>
    <w:p w:rsidR="00000000" w:rsidRPr="00281A2E" w:rsidP="00281A2E">
      <w:pPr>
        <w:pStyle w:val="ListBullet"/>
      </w:pPr>
      <w:r w:rsidRPr="00281A2E">
        <w:t>calculating charges</w:t>
      </w:r>
    </w:p>
    <w:p w:rsidR="00000000" w:rsidRPr="00281A2E" w:rsidP="00281A2E">
      <w:pPr>
        <w:pStyle w:val="ListBullet"/>
      </w:pPr>
      <w:r w:rsidRPr="00281A2E">
        <w:t>checking for contaminates when verifying metal changes to melting on at least two occasions and recommending changes and/or additions to the charge as required</w:t>
      </w:r>
    </w:p>
    <w:p w:rsidR="00000000" w:rsidRPr="00281A2E" w:rsidP="00281A2E">
      <w:pPr>
        <w:pStyle w:val="ListBullet"/>
      </w:pPr>
      <w:r w:rsidRPr="00281A2E">
        <w:t xml:space="preserve">performing visual checking of furnaces for operational condition and safety </w:t>
      </w:r>
      <w:r w:rsidRPr="00281A2E">
        <w:t>risks on at least two occasions</w:t>
      </w:r>
    </w:p>
    <w:p w:rsidR="00000000" w:rsidRPr="00281A2E" w:rsidP="00281A2E">
      <w:pPr>
        <w:pStyle w:val="ListBullet"/>
      </w:pPr>
      <w:r w:rsidRPr="00281A2E">
        <w:t>taking samples on at least two occasions for analysis in accordance with work health and safety (WHS) and quality procedures.</w:t>
      </w:r>
    </w:p>
    <w:p w:rsidR="00000000" w:rsidRPr="00401268" w:rsidP="00401268">
      <w:pPr>
        <w:pStyle w:val="BodyText"/>
        <w:rPr>
          <w:i/>
        </w:rPr>
      </w:pPr>
      <w:r w:rsidRPr="00401268">
        <w:rPr>
          <w:rStyle w:val="Emphasis"/>
        </w:rPr>
        <w:t>Note: Where a volume and/or frequency is not specified, demonstration must be provided at least on</w:t>
      </w:r>
      <w:r w:rsidRPr="00401268">
        <w:rPr>
          <w:rStyle w:val="Emphasis"/>
        </w:rPr>
        <w:t>ce.</w:t>
      </w:r>
    </w:p>
    <w:p w:rsidR="00000000" w:rsidRPr="00281A2E" w:rsidP="00281A2E">
      <w:pPr>
        <w:pStyle w:val="Heading1"/>
      </w:pPr>
      <w:bookmarkStart w:id="12" w:name="O_949787"/>
      <w:bookmarkEnd w:id="12"/>
      <w:r w:rsidRPr="00281A2E">
        <w:t>Knowledge Evidence</w:t>
      </w:r>
    </w:p>
    <w:p w:rsidR="00000000" w:rsidRPr="00281A2E" w:rsidP="00401268">
      <w:pPr>
        <w:pStyle w:val="BodyText"/>
      </w:pPr>
      <w:r w:rsidRPr="00281A2E">
        <w:t>Evidence required to demonstrate the required knowledge for this unit must be relevant to and satisfy the requirements of the elements and performance criteria and include knowledge of:</w:t>
      </w:r>
    </w:p>
    <w:p w:rsidR="00000000" w:rsidRPr="00281A2E" w:rsidP="00281A2E">
      <w:pPr>
        <w:pStyle w:val="ListBullet"/>
      </w:pPr>
      <w:r w:rsidRPr="00281A2E">
        <w:t>safe work practices and proce</w:t>
      </w:r>
      <w:r w:rsidRPr="00281A2E">
        <w:t>dures and use of personal protective equipment (PPE)</w:t>
      </w:r>
    </w:p>
    <w:p w:rsidR="00000000" w:rsidRPr="00281A2E" w:rsidP="00281A2E">
      <w:pPr>
        <w:pStyle w:val="ListBullet"/>
      </w:pPr>
      <w:r w:rsidRPr="00281A2E">
        <w:t>types of moulds</w:t>
      </w:r>
    </w:p>
    <w:p w:rsidR="00000000" w:rsidRPr="00281A2E" w:rsidP="00281A2E">
      <w:pPr>
        <w:pStyle w:val="ListBullet"/>
      </w:pPr>
      <w:r w:rsidRPr="00281A2E">
        <w:t>charge calculations including importance of composition control, methods used to calculate for additions and types of alloy additions</w:t>
      </w:r>
    </w:p>
    <w:p w:rsidR="00000000" w:rsidRPr="00281A2E" w:rsidP="00281A2E">
      <w:pPr>
        <w:pStyle w:val="ListBullet"/>
      </w:pPr>
      <w:r w:rsidRPr="00281A2E">
        <w:t>nonferrous alloys including definitions and their phy</w:t>
      </w:r>
      <w:r w:rsidRPr="00281A2E">
        <w:t>sical properties, density, tensile, hardness, melting points, shrinking percentage, fluidity, brass, bronze, gunmetal, copper-based alloys, aluminium based alloys and lead</w:t>
      </w:r>
    </w:p>
    <w:p w:rsidR="00000000" w:rsidRPr="00281A2E" w:rsidP="00281A2E">
      <w:pPr>
        <w:pStyle w:val="ListBullet"/>
      </w:pPr>
      <w:r w:rsidRPr="00281A2E">
        <w:t>selection including customer and manufacturer’s requirements, metal analysis and Aus</w:t>
      </w:r>
      <w:r w:rsidRPr="00281A2E">
        <w:t>tralian Standards</w:t>
      </w:r>
    </w:p>
    <w:p w:rsidR="00000000" w:rsidRPr="00281A2E" w:rsidP="00281A2E">
      <w:pPr>
        <w:pStyle w:val="ListBullet"/>
      </w:pPr>
      <w:r w:rsidRPr="00281A2E">
        <w:t>types of furnaces and their maintenance including crucible, oil, gas, induction, channel, coreless, resistance and reverberatory</w:t>
      </w:r>
    </w:p>
    <w:p w:rsidR="00000000" w:rsidRPr="00281A2E" w:rsidP="00281A2E">
      <w:pPr>
        <w:pStyle w:val="ListBullet"/>
      </w:pPr>
      <w:r w:rsidRPr="00281A2E">
        <w:t>refractories including silica, ganister, coatings and others common to nonferrous</w:t>
      </w:r>
    </w:p>
    <w:p w:rsidR="00000000" w:rsidRPr="00281A2E" w:rsidP="00281A2E">
      <w:pPr>
        <w:pStyle w:val="ListBullet"/>
      </w:pPr>
      <w:r w:rsidRPr="00281A2E">
        <w:t>linings including monolithi</w:t>
      </w:r>
      <w:r w:rsidRPr="00281A2E">
        <w:t>c, castable, rammable and bricks</w:t>
      </w:r>
    </w:p>
    <w:p w:rsidR="00000000" w:rsidRPr="00281A2E" w:rsidP="00281A2E">
      <w:pPr>
        <w:pStyle w:val="ListBullet"/>
      </w:pPr>
      <w:r w:rsidRPr="00281A2E">
        <w:t>types of ladles, crucibles, safety, maintenance, care of crucibles and porous plug</w:t>
      </w:r>
    </w:p>
    <w:p w:rsidR="00000000" w:rsidRPr="00281A2E" w:rsidP="00281A2E">
      <w:pPr>
        <w:pStyle w:val="ListBullet"/>
      </w:pPr>
      <w:r w:rsidRPr="00281A2E">
        <w:t>safety including housekeeping, PPE, dry area, pre-heating of ladles and overhead cranes</w:t>
      </w:r>
    </w:p>
    <w:p w:rsidR="00000000" w:rsidRPr="00281A2E" w:rsidP="00281A2E">
      <w:pPr>
        <w:pStyle w:val="ListBullet"/>
      </w:pPr>
      <w:r w:rsidRPr="00281A2E">
        <w:t>furnace operation procedures including PPE, dry char</w:t>
      </w:r>
      <w:r w:rsidRPr="00281A2E">
        <w:t>ge and equipment, pre-heating, scrap selection, housekeeping, melting and alloying program, charge calculations including percentages, ratio and proportion, calculations including volume and mass, operation and maintenance</w:t>
      </w:r>
    </w:p>
    <w:p w:rsidR="00000000" w:rsidRPr="00281A2E" w:rsidP="00281A2E">
      <w:pPr>
        <w:pStyle w:val="ListBullet"/>
      </w:pPr>
      <w:r w:rsidRPr="00281A2E">
        <w:t>lifting and handling equipment including tongs, shanks, cranes, hoists, bogey ladles and maintenance</w:t>
      </w:r>
    </w:p>
    <w:p w:rsidR="00000000" w:rsidRPr="00281A2E" w:rsidP="00281A2E">
      <w:pPr>
        <w:pStyle w:val="ListBullet"/>
      </w:pPr>
      <w:r w:rsidRPr="00281A2E">
        <w:t>types of control equipment including thermal analysis, pyrometers, gas analysis, chemical analysis, wet, dry, spectrograph, fluidity and shrinkage test</w:t>
      </w:r>
    </w:p>
    <w:p w:rsidR="00000000" w:rsidRPr="00281A2E" w:rsidP="00281A2E">
      <w:pPr>
        <w:pStyle w:val="ListBullet"/>
      </w:pPr>
      <w:r w:rsidRPr="00281A2E">
        <w:t>qua</w:t>
      </w:r>
      <w:r w:rsidRPr="00281A2E">
        <w:t>lity control including accurate weighing, correct chemical analysis, temperature control, covers and fluxes, mould and metal reactions, thermal analysis, degassing, deoxidising and ladle refining</w:t>
      </w:r>
    </w:p>
    <w:p w:rsidR="00000000" w:rsidRPr="00281A2E" w:rsidP="00281A2E">
      <w:pPr>
        <w:pStyle w:val="ListBullet"/>
      </w:pPr>
      <w:r w:rsidRPr="00281A2E">
        <w:t>types of defects including contamination, gas absorption, me</w:t>
      </w:r>
      <w:r w:rsidRPr="00281A2E">
        <w:t>tal analysis, temperature control, oxidation and other defects common to nonferrous metals</w:t>
      </w:r>
    </w:p>
    <w:p w:rsidR="00000000" w:rsidRPr="00281A2E" w:rsidP="00281A2E">
      <w:pPr>
        <w:pStyle w:val="ListBullet"/>
      </w:pPr>
      <w:r w:rsidRPr="00281A2E">
        <w:t>methods of avoiding and overcoming defects</w:t>
      </w:r>
    </w:p>
    <w:p w:rsidR="00000000" w:rsidRPr="00281A2E" w:rsidP="00281A2E">
      <w:pPr>
        <w:pStyle w:val="ListBullet"/>
      </w:pPr>
      <w:r w:rsidRPr="00281A2E">
        <w:t>alloy production including charge, analysis, calculation, preparation and melt control</w:t>
      </w:r>
    </w:p>
    <w:p w:rsidR="00401268" w:rsidP="00281A2E">
      <w:pPr>
        <w:pStyle w:val="ListBullet"/>
      </w:pPr>
      <w:r w:rsidRPr="00281A2E">
        <w:t>tapping and pouring including pouri</w:t>
      </w:r>
      <w:r w:rsidRPr="00281A2E">
        <w:t>ng method sequence, temperature check, capacity requirements, ladle and crucibles, checks, preparation, pre-heating, transfer including safety clips, filling, metal maintenance, covers and fluxes, temperature, metal pouring, mould condition, test bar inclu</w:t>
      </w:r>
      <w:r w:rsidRPr="00281A2E">
        <w:t>ding reasons and method, pig pouring and tagging, ladle and crucible return, emptying, cleaning, maintaining, lubrication, repairs and cleaning of refractory.</w:t>
      </w:r>
    </w:p>
    <w:p w:rsidR="00401268" w:rsidP="00281A2E">
      <w:pPr>
        <w:pStyle w:val="ListBullet"/>
      </w:pPr>
    </w:p>
    <w:p w:rsidR="00000000" w:rsidRPr="00281A2E" w:rsidP="00281A2E">
      <w:pPr>
        <w:pStyle w:val="Heading1"/>
      </w:pPr>
      <w:bookmarkStart w:id="13" w:name="O_949786"/>
      <w:bookmarkEnd w:id="13"/>
      <w:r w:rsidRPr="00281A2E">
        <w:t>Assessment Conditions</w:t>
      </w:r>
    </w:p>
    <w:p w:rsidR="00000000" w:rsidRPr="00281A2E" w:rsidP="00281A2E">
      <w:pPr>
        <w:pStyle w:val="ListBullet"/>
      </w:pPr>
      <w:r w:rsidRPr="00281A2E">
        <w:t>Assessors must:</w:t>
      </w:r>
    </w:p>
    <w:p w:rsidR="00000000" w:rsidRPr="00281A2E" w:rsidP="00281A2E">
      <w:pPr>
        <w:pStyle w:val="ListBullet2"/>
      </w:pPr>
      <w:r w:rsidRPr="00281A2E">
        <w:t>have vocational competency in monitorin</w:t>
      </w:r>
      <w:r w:rsidRPr="00281A2E">
        <w:t>g nonferrous melting and casting processes at least to the level being assessed with relevant industry knowledge and experience</w:t>
      </w:r>
    </w:p>
    <w:p w:rsidR="00000000" w:rsidRPr="00281A2E" w:rsidP="00281A2E">
      <w:pPr>
        <w:pStyle w:val="ListBullet2"/>
      </w:pPr>
      <w:r w:rsidRPr="00281A2E">
        <w:t xml:space="preserve">satisfy the assessor requirements in the </w:t>
      </w:r>
      <w:r w:rsidRPr="00281A2E">
        <w:rPr>
          <w:rStyle w:val="Emphasis"/>
        </w:rPr>
        <w:t xml:space="preserve">Standards for Registered Training Organisations 2015 </w:t>
      </w:r>
      <w:r w:rsidRPr="00281A2E">
        <w:t>or its replacement</w:t>
      </w:r>
      <w:r w:rsidRPr="00281A2E">
        <w:rPr>
          <w:rStyle w:val="Emphasis"/>
        </w:rPr>
        <w:t xml:space="preserve"> </w:t>
      </w:r>
      <w:r w:rsidRPr="00281A2E">
        <w:t xml:space="preserve">and comply with the </w:t>
      </w:r>
      <w:r w:rsidRPr="00281A2E">
        <w:rPr>
          <w:rStyle w:val="Emphasis"/>
        </w:rPr>
        <w:t xml:space="preserve">National Vocational Education and Training Regulator Act 2011, </w:t>
      </w:r>
      <w:r w:rsidRPr="00281A2E">
        <w:t>its replacement</w:t>
      </w:r>
      <w:r w:rsidRPr="00281A2E">
        <w:rPr>
          <w:rStyle w:val="Emphasis"/>
        </w:rPr>
        <w:t xml:space="preserve"> </w:t>
      </w:r>
      <w:r w:rsidRPr="00281A2E">
        <w:t>or equivalent legislation covering VET regulation in a non-referring state/territory as the case requires.</w:t>
      </w:r>
    </w:p>
    <w:p w:rsidR="00000000" w:rsidRPr="00281A2E" w:rsidP="00281A2E">
      <w:pPr>
        <w:pStyle w:val="ListBullet"/>
      </w:pPr>
      <w:r w:rsidRPr="00281A2E">
        <w:t>Where possible, assessment must occur in operatio</w:t>
      </w:r>
      <w:r w:rsidRPr="00281A2E">
        <w:t>nal workplace situations. Where this is not possible or where personal safety or environmental damage are limiting factors, assessment must occur in a sufficiently rigorous simulated environment that reflects realistic operational workplace conditions that</w:t>
      </w:r>
      <w:r w:rsidRPr="00281A2E">
        <w:t xml:space="preserve"> cover all aspects of workplace performance, including environment, task skills, task management skills, contingency management skills and job role environment skills.</w:t>
      </w:r>
    </w:p>
    <w:p w:rsidR="00000000" w:rsidRPr="00281A2E" w:rsidP="00281A2E">
      <w:pPr>
        <w:pStyle w:val="ListBullet"/>
      </w:pPr>
      <w:r w:rsidRPr="00281A2E">
        <w:t>Conditions for assessment must include access to all tools, equipment, materials and doc</w:t>
      </w:r>
      <w:r w:rsidRPr="00281A2E">
        <w:t>umentation required including relevant workplace procedures, product and manufacturing specifications.</w:t>
      </w:r>
    </w:p>
    <w:p w:rsidR="00000000" w:rsidRPr="00281A2E" w:rsidP="00281A2E">
      <w:pPr>
        <w:pStyle w:val="ListBullet"/>
      </w:pPr>
      <w:r w:rsidRPr="00281A2E">
        <w:t xml:space="preserve">Assessment processes and techniques must be appropriate to the language, literacy and numeracy requirements of the work being performed and the needs of </w:t>
      </w:r>
      <w:r w:rsidRPr="00281A2E">
        <w:t>the candidate.</w:t>
      </w:r>
    </w:p>
    <w:p w:rsidR="00000000" w:rsidRPr="00281A2E" w:rsidP="00281A2E">
      <w:pPr>
        <w:pStyle w:val="AllowPageBreak"/>
      </w:pPr>
    </w:p>
    <w:p w:rsidR="00000000" w:rsidRPr="00281A2E" w:rsidP="00281A2E">
      <w:pPr>
        <w:pStyle w:val="Heading1"/>
      </w:pPr>
      <w:bookmarkStart w:id="14" w:name="O_949784"/>
      <w:bookmarkEnd w:id="14"/>
      <w:r w:rsidRPr="00281A2E">
        <w:t>Links</w:t>
      </w:r>
    </w:p>
    <w:p w:rsidR="00000000" w:rsidRPr="00281A2E" w:rsidP="00401268">
      <w:pPr>
        <w:pStyle w:val="BodyText"/>
      </w:pPr>
      <w:r w:rsidRPr="00281A2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92835">
        <w:rPr>
          <w:rStyle w:val="Hyperlink"/>
        </w:rPr>
        <w:t>https://vetnet.gov.au/Pages/TrainingDocs.aspx?q=b7050d37-5fd0-4740-8f7d-3b7a49c10bb2</w:t>
      </w:r>
      <w:r>
        <w:fldChar w:fldCharType="end"/>
      </w:r>
    </w:p>
    <w:p w:rsidR="00000000" w:rsidRPr="00281A2E" w:rsidP="00281A2E"/>
    <w:sectPr w:rsidSect="00281A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rsidRPr="00401268" w:rsidP="00401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8" w:rsidP="00281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1268" w:rsidP="00281A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1268" w:rsidP="00281A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rsidP="00281A2E">
    <w:pPr>
      <w:pStyle w:val="Footer"/>
      <w:framePr w:wrap="around"/>
    </w:pPr>
    <w:r>
      <w:fldChar w:fldCharType="begin"/>
    </w:r>
    <w:r>
      <w:instrText xml:space="preserve"> DOCPROPERTY  Subject  \* MERGEFORMAT </w:instrText>
    </w:r>
    <w:r>
      <w:fldChar w:fldCharType="separate"/>
    </w:r>
    <w:r w:rsidR="00401268">
      <w:t>Approved</w:t>
    </w:r>
    <w:r w:rsidR="00401268">
      <w:fldChar w:fldCharType="end"/>
    </w:r>
    <w:r>
      <w:tab/>
      <w:t xml:space="preserve">Page </w:t>
    </w:r>
    <w:r>
      <w:fldChar w:fldCharType="begin"/>
    </w:r>
    <w:r>
      <w:instrText xml:space="preserve"> PAGE  \* Arabic  \* MERGEFORMAT </w:instrText>
    </w:r>
    <w:r>
      <w:fldChar w:fldCharType="separate"/>
    </w:r>
    <w:r w:rsidR="004012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1268">
      <w:rPr>
        <w:noProof/>
      </w:rPr>
      <w:t>4</w:t>
    </w:r>
    <w:r>
      <w:rPr>
        <w:noProof/>
      </w:rPr>
      <w:fldChar w:fldCharType="end"/>
    </w:r>
  </w:p>
  <w:p w:rsidR="00281A2E" w:rsidP="00281A2E">
    <w:pPr>
      <w:pStyle w:val="Footer"/>
      <w:framePr w:wrap="around"/>
    </w:pPr>
    <w:r>
      <w:t xml:space="preserve">© Commonwealth of Australia, </w:t>
    </w:r>
    <w:r>
      <w:fldChar w:fldCharType="begin"/>
    </w:r>
    <w:r>
      <w:instrText xml:space="preserve"> DATE  \@ "yyyy"  \* MERGEFORMAT </w:instrText>
    </w:r>
    <w:r>
      <w:fldChar w:fldCharType="separate"/>
    </w:r>
    <w:r w:rsidR="00401268">
      <w:rPr>
        <w:noProof/>
      </w:rPr>
      <w:t>2025</w:t>
    </w:r>
    <w:r>
      <w:fldChar w:fldCharType="end"/>
    </w:r>
    <w:r>
      <w:tab/>
    </w:r>
    <w:r>
      <w:fldChar w:fldCharType="begin"/>
    </w:r>
    <w:r>
      <w:instrText xml:space="preserve"> DOCPROPERTY  Author  \* MERGEFORMAT </w:instrText>
    </w:r>
    <w:r>
      <w:fldChar w:fldCharType="separate"/>
    </w:r>
    <w:r w:rsidR="00401268">
      <w:t>Manufacturing Industry Skills Alliance</w:t>
    </w:r>
    <w:r w:rsidR="00401268">
      <w:fldChar w:fldCharType="end"/>
    </w:r>
  </w:p>
  <w:p w:rsidR="00281A2E" w:rsidP="00281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A2E" w:rsidRPr="00401268" w:rsidP="00401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8" w:rsidRPr="002D2AF8" w:rsidP="00281A2E">
    <w:pPr>
      <w:pStyle w:val="Header"/>
      <w:framePr w:wrap="around"/>
    </w:pPr>
    <w:r>
      <w:fldChar w:fldCharType="begin"/>
    </w:r>
    <w:r>
      <w:instrText xml:space="preserve"> TITLE   \* MERGEFORMAT </w:instrText>
    </w:r>
    <w:r>
      <w:fldChar w:fldCharType="separate"/>
    </w:r>
    <w:r>
      <w:t>MEM48003 Monitor nonferrous melting and casting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1268" w:rsidP="00281A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2E" w:rsidRPr="002D2AF8" w:rsidP="00281A2E">
    <w:pPr>
      <w:pStyle w:val="Header"/>
      <w:framePr w:wrap="around"/>
    </w:pPr>
    <w:r>
      <w:fldChar w:fldCharType="begin"/>
    </w:r>
    <w:r>
      <w:instrText xml:space="preserve"> TITLE   \* MERGEFORMAT </w:instrText>
    </w:r>
    <w:r>
      <w:fldChar w:fldCharType="separate"/>
    </w:r>
    <w:r w:rsidR="00401268">
      <w:t>MEM48003 Monitor nonferrous melting and casting processes</w:t>
    </w:r>
    <w:r w:rsidR="00401268">
      <w:fldChar w:fldCharType="end"/>
    </w:r>
    <w:r>
      <w:tab/>
      <w:t xml:space="preserve">Date this document was generated: </w:t>
    </w:r>
    <w:r>
      <w:fldChar w:fldCharType="begin"/>
    </w:r>
    <w:r>
      <w:instrText xml:space="preserve"> CREATEDATE  \@ "d MMMM yyyy"  \* MERGEFORMAT </w:instrText>
    </w:r>
    <w:r>
      <w:fldChar w:fldCharType="separate"/>
    </w:r>
    <w:r w:rsidR="00401268">
      <w:rPr>
        <w:noProof/>
      </w:rPr>
      <w:t>2 March 2025</w:t>
    </w:r>
    <w:r>
      <w:fldChar w:fldCharType="end"/>
    </w:r>
  </w:p>
  <w:p w:rsidR="00281A2E" w:rsidP="00281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22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A3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66B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A2E"/>
    <w:pPr>
      <w:spacing w:before="360" w:after="60"/>
      <w:outlineLvl w:val="0"/>
    </w:pPr>
    <w:rPr>
      <w:sz w:val="32"/>
    </w:rPr>
  </w:style>
  <w:style w:type="paragraph" w:styleId="Heading2">
    <w:name w:val="heading 2"/>
    <w:basedOn w:val="HeadingBase"/>
    <w:next w:val="BodyText"/>
    <w:link w:val="Heading2Char"/>
    <w:qFormat/>
    <w:rsid w:val="00281A2E"/>
    <w:pPr>
      <w:keepLines/>
      <w:spacing w:before="240" w:after="120"/>
      <w:outlineLvl w:val="1"/>
    </w:pPr>
    <w:rPr>
      <w:sz w:val="28"/>
      <w:szCs w:val="40"/>
    </w:rPr>
  </w:style>
  <w:style w:type="paragraph" w:styleId="Heading3">
    <w:name w:val="heading 3"/>
    <w:basedOn w:val="HeadingBase"/>
    <w:next w:val="BodyText"/>
    <w:link w:val="Heading3Char"/>
    <w:qFormat/>
    <w:rsid w:val="00281A2E"/>
    <w:pPr>
      <w:spacing w:before="180" w:after="120"/>
      <w:outlineLvl w:val="2"/>
    </w:pPr>
    <w:rPr>
      <w:spacing w:val="-10"/>
      <w:kern w:val="32"/>
    </w:rPr>
  </w:style>
  <w:style w:type="paragraph" w:styleId="Heading4">
    <w:name w:val="heading 4"/>
    <w:basedOn w:val="HeadingBase"/>
    <w:next w:val="BodyText"/>
    <w:link w:val="Heading4Char"/>
    <w:qFormat/>
    <w:rsid w:val="00281A2E"/>
    <w:pPr>
      <w:spacing w:before="160" w:after="120"/>
      <w:outlineLvl w:val="3"/>
    </w:pPr>
    <w:rPr>
      <w:sz w:val="22"/>
    </w:rPr>
  </w:style>
  <w:style w:type="paragraph" w:styleId="Heading5">
    <w:name w:val="heading 5"/>
    <w:basedOn w:val="HeadingBase"/>
    <w:next w:val="Normal"/>
    <w:link w:val="Heading5Char"/>
    <w:qFormat/>
    <w:rsid w:val="00281A2E"/>
    <w:pPr>
      <w:spacing w:before="80"/>
      <w:outlineLvl w:val="4"/>
    </w:pPr>
    <w:rPr>
      <w:color w:val="918585"/>
      <w:sz w:val="20"/>
    </w:rPr>
  </w:style>
  <w:style w:type="paragraph" w:styleId="Heading6">
    <w:name w:val="heading 6"/>
    <w:basedOn w:val="HeadingBase"/>
    <w:next w:val="Normal"/>
    <w:link w:val="Heading6Char"/>
    <w:qFormat/>
    <w:rsid w:val="00281A2E"/>
    <w:pPr>
      <w:spacing w:before="60"/>
      <w:outlineLvl w:val="5"/>
    </w:pPr>
    <w:rPr>
      <w:color w:val="918585"/>
      <w:sz w:val="20"/>
    </w:rPr>
  </w:style>
  <w:style w:type="paragraph" w:styleId="Heading7">
    <w:name w:val="heading 7"/>
    <w:basedOn w:val="Normal"/>
    <w:next w:val="Normal"/>
    <w:link w:val="Heading7Char"/>
    <w:qFormat/>
    <w:rsid w:val="00281A2E"/>
    <w:pPr>
      <w:ind w:left="720"/>
      <w:outlineLvl w:val="6"/>
    </w:pPr>
    <w:rPr>
      <w:i/>
    </w:rPr>
  </w:style>
  <w:style w:type="paragraph" w:styleId="Heading8">
    <w:name w:val="heading 8"/>
    <w:basedOn w:val="Normal"/>
    <w:next w:val="Normal"/>
    <w:link w:val="Heading8Char"/>
    <w:qFormat/>
    <w:rsid w:val="00281A2E"/>
    <w:pPr>
      <w:ind w:left="720"/>
      <w:outlineLvl w:val="7"/>
    </w:pPr>
    <w:rPr>
      <w:i/>
    </w:rPr>
  </w:style>
  <w:style w:type="paragraph" w:styleId="Heading9">
    <w:name w:val="heading 9"/>
    <w:basedOn w:val="Normal"/>
    <w:next w:val="Normal"/>
    <w:link w:val="Heading9Char"/>
    <w:qFormat/>
    <w:rsid w:val="00281A2E"/>
    <w:pPr>
      <w:ind w:left="720"/>
      <w:outlineLvl w:val="8"/>
    </w:pPr>
    <w:rPr>
      <w:i/>
    </w:rPr>
  </w:style>
  <w:style w:type="character" w:default="1" w:styleId="DefaultParagraphFont">
    <w:name w:val="Default Paragraph Font"/>
    <w:uiPriority w:val="1"/>
    <w:unhideWhenUsed/>
    <w:rsid w:val="00281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A2E"/>
  </w:style>
  <w:style w:type="character" w:customStyle="1" w:styleId="Heading1Char">
    <w:name w:val="Heading 1 Char"/>
    <w:basedOn w:val="DefaultParagraphFont"/>
    <w:link w:val="Heading1"/>
    <w:rsid w:val="00281A2E"/>
    <w:rPr>
      <w:rFonts w:ascii="Times New Roman" w:eastAsia="Times New Roman" w:hAnsi="Times New Roman" w:cs="Times New Roman"/>
      <w:b/>
      <w:sz w:val="32"/>
      <w:szCs w:val="20"/>
      <w:lang w:eastAsia="en-US"/>
    </w:rPr>
  </w:style>
  <w:style w:type="paragraph" w:styleId="BodyText">
    <w:name w:val="Body Text"/>
    <w:basedOn w:val="Normal"/>
    <w:link w:val="BodyTextChar"/>
    <w:rsid w:val="00281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A2E"/>
    <w:rPr>
      <w:rFonts w:ascii="Times New Roman" w:eastAsia="Times New Roman" w:hAnsi="Times New Roman" w:cs="Times New Roman"/>
      <w:sz w:val="24"/>
      <w:lang w:eastAsia="en-US"/>
    </w:rPr>
  </w:style>
  <w:style w:type="paragraph" w:styleId="ListBullet">
    <w:name w:val="List Bullet"/>
    <w:basedOn w:val="List"/>
    <w:rsid w:val="00281A2E"/>
    <w:pPr>
      <w:numPr>
        <w:numId w:val="12"/>
      </w:numPr>
      <w:tabs>
        <w:tab w:val="clear" w:pos="340"/>
      </w:tabs>
      <w:spacing w:before="40" w:after="40"/>
    </w:pPr>
  </w:style>
  <w:style w:type="character" w:customStyle="1" w:styleId="SpecialBold">
    <w:name w:val="Special Bold"/>
    <w:basedOn w:val="DefaultParagraphFont"/>
    <w:rsid w:val="00281A2E"/>
    <w:rPr>
      <w:b/>
      <w:spacing w:val="0"/>
    </w:rPr>
  </w:style>
  <w:style w:type="paragraph" w:styleId="ListBullet2">
    <w:name w:val="List Bullet 2"/>
    <w:basedOn w:val="List2"/>
    <w:rsid w:val="00281A2E"/>
    <w:pPr>
      <w:numPr>
        <w:numId w:val="13"/>
      </w:numPr>
      <w:tabs>
        <w:tab w:val="clear" w:pos="680"/>
      </w:tabs>
    </w:pPr>
  </w:style>
  <w:style w:type="character" w:styleId="Emphasis">
    <w:name w:val="Emphasis"/>
    <w:basedOn w:val="DefaultParagraphFont"/>
    <w:qFormat/>
    <w:rsid w:val="00281A2E"/>
    <w:rPr>
      <w:i/>
    </w:rPr>
  </w:style>
  <w:style w:type="paragraph" w:customStyle="1" w:styleId="SuperHeading">
    <w:name w:val="SuperHeading"/>
    <w:basedOn w:val="Normal"/>
    <w:rsid w:val="00281A2E"/>
    <w:pPr>
      <w:spacing w:before="240" w:after="120"/>
      <w:outlineLvl w:val="0"/>
    </w:pPr>
    <w:rPr>
      <w:rFonts w:ascii="Times New Roman" w:hAnsi="Times New Roman"/>
      <w:b/>
      <w:sz w:val="32"/>
    </w:rPr>
  </w:style>
  <w:style w:type="paragraph" w:customStyle="1" w:styleId="AllowPageBreak">
    <w:name w:val="AllowPageBreak"/>
    <w:rsid w:val="00281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A2E"/>
    <w:rPr>
      <w:rFonts w:ascii="Courier New" w:eastAsia="Times New Roman" w:hAnsi="Courier New" w:cs="Times New Roman"/>
      <w:i/>
      <w:szCs w:val="20"/>
      <w:lang w:eastAsia="en-US"/>
    </w:rPr>
  </w:style>
  <w:style w:type="paragraph" w:customStyle="1" w:styleId="HeadingBase">
    <w:name w:val="Heading Base"/>
    <w:rsid w:val="00281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A2E"/>
    <w:pPr>
      <w:tabs>
        <w:tab w:val="right" w:leader="dot" w:pos="9072"/>
      </w:tabs>
      <w:ind w:left="567"/>
    </w:pPr>
    <w:rPr>
      <w:szCs w:val="22"/>
    </w:rPr>
  </w:style>
  <w:style w:type="paragraph" w:customStyle="1" w:styleId="TOCBase">
    <w:name w:val="TOC Base"/>
    <w:rsid w:val="00281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A2E"/>
    <w:pPr>
      <w:tabs>
        <w:tab w:val="right" w:leader="dot" w:pos="9072"/>
      </w:tabs>
      <w:spacing w:before="40" w:after="40"/>
      <w:ind w:left="284"/>
    </w:pPr>
    <w:rPr>
      <w:rFonts w:ascii="Times New Roman" w:hAnsi="Times New Roman"/>
    </w:rPr>
  </w:style>
  <w:style w:type="paragraph" w:styleId="TOC1">
    <w:name w:val="toc 1"/>
    <w:basedOn w:val="TOCBase"/>
    <w:next w:val="Normal"/>
    <w:rsid w:val="00281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A2E"/>
    <w:rPr>
      <w:rFonts w:ascii="Times New Roman" w:eastAsia="Times New Roman" w:hAnsi="Times New Roman" w:cs="Times New Roman"/>
      <w:sz w:val="16"/>
      <w:lang w:eastAsia="en-US"/>
    </w:rPr>
  </w:style>
  <w:style w:type="paragraph" w:styleId="Title">
    <w:name w:val="Title"/>
    <w:basedOn w:val="HeadingBase"/>
    <w:link w:val="TitleChar"/>
    <w:qFormat/>
    <w:rsid w:val="00281A2E"/>
    <w:pPr>
      <w:spacing w:before="5040"/>
      <w:jc w:val="center"/>
    </w:pPr>
    <w:rPr>
      <w:sz w:val="48"/>
      <w:szCs w:val="72"/>
      <w:lang w:val="en-US"/>
    </w:rPr>
  </w:style>
  <w:style w:type="character" w:customStyle="1" w:styleId="TitleChar">
    <w:name w:val="Title Char"/>
    <w:basedOn w:val="DefaultParagraphFont"/>
    <w:link w:val="Title"/>
    <w:rsid w:val="00281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A2E"/>
    <w:pPr>
      <w:tabs>
        <w:tab w:val="left" w:pos="3600"/>
        <w:tab w:val="left" w:pos="3958"/>
      </w:tabs>
    </w:pPr>
  </w:style>
  <w:style w:type="paragraph" w:styleId="List">
    <w:name w:val="List"/>
    <w:basedOn w:val="BodyText"/>
    <w:next w:val="BodyText"/>
    <w:rsid w:val="00281A2E"/>
    <w:pPr>
      <w:tabs>
        <w:tab w:val="left" w:pos="340"/>
      </w:tabs>
      <w:spacing w:before="60" w:after="60"/>
      <w:ind w:left="340" w:hanging="340"/>
    </w:pPr>
  </w:style>
  <w:style w:type="paragraph" w:customStyle="1" w:styleId="Note">
    <w:name w:val="Note"/>
    <w:basedOn w:val="BodyText"/>
    <w:rsid w:val="00281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A2E"/>
    <w:pPr>
      <w:framePr w:wrap="auto" w:hAnchor="text" w:y="6049"/>
    </w:pPr>
    <w:rPr>
      <w:color w:val="000000"/>
      <w:sz w:val="40"/>
    </w:rPr>
  </w:style>
  <w:style w:type="paragraph" w:customStyle="1" w:styleId="TOCTitle">
    <w:name w:val="TOCTitle"/>
    <w:basedOn w:val="Heading1"/>
    <w:rsid w:val="00281A2E"/>
    <w:pPr>
      <w:spacing w:after="240"/>
      <w:jc w:val="center"/>
      <w:outlineLvl w:val="9"/>
    </w:pPr>
    <w:rPr>
      <w:caps/>
    </w:rPr>
  </w:style>
  <w:style w:type="paragraph" w:customStyle="1" w:styleId="Version">
    <w:name w:val="Version"/>
    <w:rsid w:val="00281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A2E"/>
    <w:pPr>
      <w:keepNext w:val="0"/>
      <w:tabs>
        <w:tab w:val="right" w:pos="4176"/>
      </w:tabs>
      <w:ind w:left="198" w:hanging="198"/>
    </w:pPr>
    <w:rPr>
      <w:rFonts w:ascii="Garamond" w:hAnsi="Garamond"/>
    </w:rPr>
  </w:style>
  <w:style w:type="paragraph" w:styleId="IndexHeading">
    <w:name w:val="index heading"/>
    <w:basedOn w:val="Normal"/>
    <w:next w:val="Index1"/>
    <w:semiHidden/>
    <w:rsid w:val="00281A2E"/>
    <w:pPr>
      <w:spacing w:before="120" w:after="120"/>
    </w:pPr>
    <w:rPr>
      <w:rFonts w:ascii="Arial" w:hAnsi="Arial"/>
      <w:b/>
      <w:color w:val="918585"/>
      <w:sz w:val="24"/>
    </w:rPr>
  </w:style>
  <w:style w:type="paragraph" w:styleId="Header">
    <w:name w:val="header"/>
    <w:basedOn w:val="Normal"/>
    <w:link w:val="HeaderChar"/>
    <w:rsid w:val="00281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A2E"/>
    <w:rPr>
      <w:rFonts w:ascii="Times New Roman" w:eastAsia="Times New Roman" w:hAnsi="Times New Roman" w:cs="Times New Roman"/>
      <w:sz w:val="16"/>
      <w:szCs w:val="20"/>
      <w:lang w:val="en-GB" w:eastAsia="en-US"/>
    </w:rPr>
  </w:style>
  <w:style w:type="paragraph" w:customStyle="1" w:styleId="Chapter">
    <w:name w:val="Chapter"/>
    <w:basedOn w:val="Normal"/>
    <w:rsid w:val="00281A2E"/>
    <w:pPr>
      <w:spacing w:before="240"/>
    </w:pPr>
    <w:rPr>
      <w:rFonts w:ascii="Times New Roman" w:hAnsi="Times New Roman"/>
      <w:smallCaps/>
      <w:spacing w:val="80"/>
      <w:sz w:val="28"/>
    </w:rPr>
  </w:style>
  <w:style w:type="paragraph" w:customStyle="1" w:styleId="InChapter">
    <w:name w:val="InChapter"/>
    <w:basedOn w:val="Heading3"/>
    <w:rsid w:val="00281A2E"/>
    <w:pPr>
      <w:spacing w:after="240"/>
      <w:outlineLvl w:val="9"/>
    </w:pPr>
    <w:rPr>
      <w:noProof/>
    </w:rPr>
  </w:style>
  <w:style w:type="paragraph" w:styleId="Index2">
    <w:name w:val="index 2"/>
    <w:basedOn w:val="Normal"/>
    <w:next w:val="Normal"/>
    <w:semiHidden/>
    <w:rsid w:val="00281A2E"/>
    <w:pPr>
      <w:tabs>
        <w:tab w:val="right" w:pos="4176"/>
      </w:tabs>
      <w:ind w:left="568" w:hanging="284"/>
    </w:pPr>
    <w:rPr>
      <w:rFonts w:ascii="Garamond" w:hAnsi="Garamond"/>
    </w:rPr>
  </w:style>
  <w:style w:type="paragraph" w:customStyle="1" w:styleId="Byline">
    <w:name w:val="Byline"/>
    <w:rsid w:val="00281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A2E"/>
    <w:pPr>
      <w:tabs>
        <w:tab w:val="clear" w:pos="3600"/>
        <w:tab w:val="clear" w:pos="3958"/>
      </w:tabs>
      <w:jc w:val="right"/>
    </w:pPr>
  </w:style>
  <w:style w:type="paragraph" w:styleId="Caption">
    <w:name w:val="caption"/>
    <w:basedOn w:val="BodyText"/>
    <w:next w:val="Normal"/>
    <w:qFormat/>
    <w:rsid w:val="00281A2E"/>
    <w:pPr>
      <w:framePr w:w="2268" w:hSpace="181" w:vSpace="181" w:wrap="around" w:vAnchor="text" w:hAnchor="page" w:x="1135" w:y="285" w:anchorLock="1"/>
    </w:pPr>
    <w:rPr>
      <w:i/>
    </w:rPr>
  </w:style>
  <w:style w:type="paragraph" w:customStyle="1" w:styleId="MiniTOCTitle">
    <w:name w:val="MiniTOCTitle"/>
    <w:basedOn w:val="Heading4"/>
    <w:rsid w:val="00281A2E"/>
    <w:pPr>
      <w:spacing w:before="240"/>
      <w:outlineLvl w:val="9"/>
    </w:pPr>
    <w:rPr>
      <w:noProof/>
      <w:sz w:val="24"/>
    </w:rPr>
  </w:style>
  <w:style w:type="paragraph" w:customStyle="1" w:styleId="MiniTOCItem">
    <w:name w:val="MiniTOCItem"/>
    <w:basedOn w:val="ListBullet"/>
    <w:rsid w:val="00281A2E"/>
    <w:pPr>
      <w:numPr>
        <w:numId w:val="0"/>
      </w:numPr>
      <w:tabs>
        <w:tab w:val="right" w:leader="dot" w:pos="6521"/>
      </w:tabs>
      <w:spacing w:before="0" w:after="0"/>
    </w:pPr>
  </w:style>
  <w:style w:type="paragraph" w:customStyle="1" w:styleId="TOFTitle">
    <w:name w:val="TOFTitle"/>
    <w:basedOn w:val="TOCTitle"/>
    <w:rsid w:val="00281A2E"/>
  </w:style>
  <w:style w:type="paragraph" w:styleId="TableofFigures">
    <w:name w:val="table of figures"/>
    <w:basedOn w:val="Normal"/>
    <w:next w:val="Normal"/>
    <w:semiHidden/>
    <w:rsid w:val="00281A2E"/>
    <w:pPr>
      <w:tabs>
        <w:tab w:val="right" w:leader="dot" w:pos="9072"/>
      </w:tabs>
      <w:ind w:left="970" w:hanging="403"/>
    </w:pPr>
    <w:rPr>
      <w:rFonts w:ascii="Times New Roman" w:hAnsi="Times New Roman"/>
      <w:b/>
    </w:rPr>
  </w:style>
  <w:style w:type="paragraph" w:styleId="ListNumber">
    <w:name w:val="List Number"/>
    <w:basedOn w:val="List"/>
    <w:rsid w:val="00281A2E"/>
    <w:pPr>
      <w:numPr>
        <w:numId w:val="15"/>
      </w:numPr>
      <w:tabs>
        <w:tab w:val="clear" w:pos="340"/>
      </w:tabs>
    </w:pPr>
  </w:style>
  <w:style w:type="character" w:customStyle="1" w:styleId="WingdingSymbols">
    <w:name w:val="Wingding Symbols"/>
    <w:rsid w:val="00281A2E"/>
    <w:rPr>
      <w:rFonts w:ascii="Wingdings" w:hAnsi="Wingdings"/>
    </w:rPr>
  </w:style>
  <w:style w:type="paragraph" w:customStyle="1" w:styleId="TableHeading">
    <w:name w:val="Table Heading"/>
    <w:basedOn w:val="HeadingBase"/>
    <w:rsid w:val="00281A2E"/>
    <w:pPr>
      <w:keepLines/>
      <w:pBdr>
        <w:bottom w:val="single" w:sz="6" w:space="1" w:color="918585"/>
      </w:pBdr>
      <w:spacing w:before="240"/>
    </w:pPr>
  </w:style>
  <w:style w:type="character" w:customStyle="1" w:styleId="HotSpot">
    <w:name w:val="HotSpot"/>
    <w:rsid w:val="00281A2E"/>
    <w:rPr>
      <w:color w:val="0033CC"/>
      <w:u w:val="none"/>
    </w:rPr>
  </w:style>
  <w:style w:type="paragraph" w:customStyle="1" w:styleId="BodyTextRight">
    <w:name w:val="Body Text Right"/>
    <w:basedOn w:val="BodyText"/>
    <w:rsid w:val="00281A2E"/>
    <w:pPr>
      <w:spacing w:before="0" w:after="0"/>
      <w:jc w:val="right"/>
    </w:pPr>
  </w:style>
  <w:style w:type="paragraph" w:styleId="Index3">
    <w:name w:val="index 3"/>
    <w:basedOn w:val="ListNumber2"/>
    <w:next w:val="Normal"/>
    <w:semiHidden/>
    <w:rsid w:val="00281A2E"/>
    <w:pPr>
      <w:numPr>
        <w:numId w:val="0"/>
      </w:numPr>
      <w:tabs>
        <w:tab w:val="right" w:leader="dot" w:pos="4176"/>
      </w:tabs>
    </w:pPr>
  </w:style>
  <w:style w:type="paragraph" w:styleId="ListNumber2">
    <w:name w:val="List Number 2"/>
    <w:basedOn w:val="List2"/>
    <w:rsid w:val="00281A2E"/>
    <w:pPr>
      <w:numPr>
        <w:numId w:val="10"/>
      </w:numPr>
      <w:tabs>
        <w:tab w:val="clear" w:pos="1060"/>
      </w:tabs>
    </w:pPr>
  </w:style>
  <w:style w:type="paragraph" w:customStyle="1" w:styleId="MarginNote">
    <w:name w:val="Margin Note"/>
    <w:basedOn w:val="BodyText"/>
    <w:rsid w:val="00281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A2E"/>
    <w:rPr>
      <w:sz w:val="32"/>
    </w:rPr>
  </w:style>
  <w:style w:type="paragraph" w:customStyle="1" w:styleId="HeadingProcedure">
    <w:name w:val="Heading Procedure"/>
    <w:basedOn w:val="HeadingBase"/>
    <w:next w:val="Normal"/>
    <w:rsid w:val="00281A2E"/>
    <w:pPr>
      <w:tabs>
        <w:tab w:val="left" w:pos="0"/>
      </w:tabs>
      <w:spacing w:before="120" w:after="60"/>
    </w:pPr>
    <w:rPr>
      <w:i/>
      <w:color w:val="918585"/>
      <w:sz w:val="22"/>
    </w:rPr>
  </w:style>
  <w:style w:type="paragraph" w:customStyle="1" w:styleId="TableBodyText">
    <w:name w:val="Table Body Text"/>
    <w:basedOn w:val="BodyText"/>
    <w:rsid w:val="00281A2E"/>
    <w:pPr>
      <w:spacing w:before="60" w:after="60"/>
    </w:pPr>
  </w:style>
  <w:style w:type="paragraph" w:styleId="ListContinue">
    <w:name w:val="List Continue"/>
    <w:basedOn w:val="List"/>
    <w:rsid w:val="00281A2E"/>
    <w:pPr>
      <w:ind w:firstLine="0"/>
    </w:pPr>
  </w:style>
  <w:style w:type="paragraph" w:customStyle="1" w:styleId="ListNote">
    <w:name w:val="List Note"/>
    <w:basedOn w:val="List"/>
    <w:rsid w:val="00281A2E"/>
    <w:pPr>
      <w:pBdr>
        <w:top w:val="single" w:sz="6" w:space="2" w:color="918585"/>
        <w:bottom w:val="single" w:sz="6" w:space="2" w:color="918585"/>
      </w:pBdr>
      <w:tabs>
        <w:tab w:val="left" w:pos="1021"/>
      </w:tabs>
      <w:ind w:firstLine="0"/>
    </w:pPr>
  </w:style>
  <w:style w:type="paragraph" w:customStyle="1" w:styleId="Warning">
    <w:name w:val="Warning"/>
    <w:basedOn w:val="BodyText"/>
    <w:rsid w:val="00281A2E"/>
    <w:pPr>
      <w:shd w:val="clear" w:color="auto" w:fill="D9D9D9"/>
      <w:tabs>
        <w:tab w:val="left" w:pos="992"/>
      </w:tabs>
      <w:ind w:left="119" w:right="119"/>
    </w:pPr>
    <w:rPr>
      <w:sz w:val="20"/>
    </w:rPr>
  </w:style>
  <w:style w:type="paragraph" w:customStyle="1" w:styleId="MarginIcons">
    <w:name w:val="Margin Icons"/>
    <w:basedOn w:val="BodyText"/>
    <w:rsid w:val="00281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A2E"/>
    <w:rPr>
      <w:rFonts w:ascii="Courier New" w:hAnsi="Courier New"/>
    </w:rPr>
  </w:style>
  <w:style w:type="paragraph" w:customStyle="1" w:styleId="NoteBullet">
    <w:name w:val="Note Bullet"/>
    <w:basedOn w:val="Note"/>
    <w:rsid w:val="00281A2E"/>
    <w:pPr>
      <w:tabs>
        <w:tab w:val="clear" w:pos="680"/>
      </w:tabs>
      <w:spacing w:before="60" w:after="60"/>
    </w:pPr>
  </w:style>
  <w:style w:type="paragraph" w:customStyle="1" w:styleId="SubHeading2">
    <w:name w:val="SubHeading2"/>
    <w:basedOn w:val="HeadingBase"/>
    <w:rsid w:val="00281A2E"/>
    <w:pPr>
      <w:spacing w:before="240" w:after="60"/>
    </w:pPr>
    <w:rPr>
      <w:sz w:val="20"/>
    </w:rPr>
  </w:style>
  <w:style w:type="paragraph" w:customStyle="1" w:styleId="SubHeading1">
    <w:name w:val="SubHeading1"/>
    <w:basedOn w:val="HeadingBase"/>
    <w:rsid w:val="00281A2E"/>
    <w:pPr>
      <w:spacing w:before="240" w:after="60"/>
    </w:pPr>
    <w:rPr>
      <w:color w:val="918585"/>
      <w:sz w:val="22"/>
    </w:rPr>
  </w:style>
  <w:style w:type="paragraph" w:customStyle="1" w:styleId="SideHeading">
    <w:name w:val="Side Heading"/>
    <w:basedOn w:val="HeadingBase"/>
    <w:rsid w:val="00281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A2E"/>
    <w:pPr>
      <w:tabs>
        <w:tab w:val="num" w:pos="360"/>
      </w:tabs>
    </w:pPr>
  </w:style>
  <w:style w:type="paragraph" w:styleId="PlainText">
    <w:name w:val="Plain Text"/>
    <w:basedOn w:val="Normal"/>
    <w:link w:val="PlainTextChar"/>
    <w:rsid w:val="00281A2E"/>
    <w:rPr>
      <w:sz w:val="20"/>
    </w:rPr>
  </w:style>
  <w:style w:type="character" w:customStyle="1" w:styleId="PlainTextChar">
    <w:name w:val="Plain Text Char"/>
    <w:basedOn w:val="DefaultParagraphFont"/>
    <w:link w:val="PlainText"/>
    <w:rsid w:val="00281A2E"/>
    <w:rPr>
      <w:rFonts w:ascii="Courier New" w:eastAsia="Times New Roman" w:hAnsi="Courier New" w:cs="Times New Roman"/>
      <w:sz w:val="20"/>
      <w:szCs w:val="20"/>
      <w:lang w:eastAsia="en-US"/>
    </w:rPr>
  </w:style>
  <w:style w:type="character" w:customStyle="1" w:styleId="MenuOption">
    <w:name w:val="Menu Option"/>
    <w:basedOn w:val="DefaultParagraphFont"/>
    <w:rsid w:val="00281A2E"/>
    <w:rPr>
      <w:b/>
      <w:smallCaps/>
    </w:rPr>
  </w:style>
  <w:style w:type="paragraph" w:customStyle="1" w:styleId="TableListNumber">
    <w:name w:val="Table List Number"/>
    <w:basedOn w:val="ListNumber"/>
    <w:rsid w:val="00281A2E"/>
    <w:pPr>
      <w:numPr>
        <w:numId w:val="0"/>
      </w:numPr>
    </w:pPr>
  </w:style>
  <w:style w:type="paragraph" w:styleId="TOC4">
    <w:name w:val="toc 4"/>
    <w:basedOn w:val="TOCBase"/>
    <w:next w:val="Normal"/>
    <w:semiHidden/>
    <w:rsid w:val="00281A2E"/>
    <w:pPr>
      <w:tabs>
        <w:tab w:val="right" w:leader="dot" w:pos="9071"/>
      </w:tabs>
      <w:ind w:left="1701"/>
    </w:pPr>
  </w:style>
  <w:style w:type="paragraph" w:customStyle="1" w:styleId="ListAlpha">
    <w:name w:val="List Alpha"/>
    <w:basedOn w:val="List"/>
    <w:rsid w:val="00281A2E"/>
    <w:pPr>
      <w:numPr>
        <w:numId w:val="9"/>
      </w:numPr>
    </w:pPr>
  </w:style>
  <w:style w:type="paragraph" w:customStyle="1" w:styleId="ListAlpha2">
    <w:name w:val="List Alpha 2"/>
    <w:basedOn w:val="List2"/>
    <w:rsid w:val="00281A2E"/>
    <w:pPr>
      <w:numPr>
        <w:numId w:val="8"/>
      </w:numPr>
    </w:pPr>
  </w:style>
  <w:style w:type="paragraph" w:styleId="List2">
    <w:name w:val="List 2"/>
    <w:basedOn w:val="BodyText"/>
    <w:rsid w:val="00281A2E"/>
    <w:pPr>
      <w:tabs>
        <w:tab w:val="left" w:pos="680"/>
      </w:tabs>
      <w:spacing w:before="60" w:after="60"/>
      <w:ind w:left="680" w:hanging="340"/>
    </w:pPr>
  </w:style>
  <w:style w:type="paragraph" w:styleId="List3">
    <w:name w:val="List 3"/>
    <w:basedOn w:val="BodyText"/>
    <w:rsid w:val="00281A2E"/>
    <w:pPr>
      <w:tabs>
        <w:tab w:val="left" w:pos="1021"/>
      </w:tabs>
      <w:spacing w:before="60" w:after="60"/>
      <w:ind w:left="1020" w:hanging="340"/>
    </w:pPr>
  </w:style>
  <w:style w:type="paragraph" w:styleId="List4">
    <w:name w:val="List 4"/>
    <w:basedOn w:val="BodyText"/>
    <w:rsid w:val="00281A2E"/>
    <w:pPr>
      <w:tabs>
        <w:tab w:val="left" w:pos="1361"/>
      </w:tabs>
      <w:spacing w:before="60" w:after="60"/>
      <w:ind w:left="1361" w:hanging="340"/>
    </w:pPr>
  </w:style>
  <w:style w:type="paragraph" w:styleId="List5">
    <w:name w:val="List 5"/>
    <w:basedOn w:val="BodyText"/>
    <w:rsid w:val="00281A2E"/>
    <w:pPr>
      <w:tabs>
        <w:tab w:val="left" w:pos="1701"/>
      </w:tabs>
      <w:spacing w:before="60" w:after="60"/>
      <w:ind w:left="1701" w:hanging="340"/>
    </w:pPr>
  </w:style>
  <w:style w:type="paragraph" w:styleId="ListBullet3">
    <w:name w:val="List Bullet 3"/>
    <w:basedOn w:val="List3"/>
    <w:rsid w:val="00281A2E"/>
    <w:pPr>
      <w:numPr>
        <w:numId w:val="14"/>
      </w:numPr>
      <w:tabs>
        <w:tab w:val="clear" w:pos="1021"/>
      </w:tabs>
      <w:ind w:left="1037" w:hanging="357"/>
    </w:pPr>
  </w:style>
  <w:style w:type="paragraph" w:styleId="ListBullet4">
    <w:name w:val="List Bullet 4"/>
    <w:basedOn w:val="List4"/>
    <w:rsid w:val="00281A2E"/>
    <w:pPr>
      <w:numPr>
        <w:numId w:val="3"/>
      </w:numPr>
      <w:tabs>
        <w:tab w:val="clear" w:pos="1361"/>
      </w:tabs>
    </w:pPr>
  </w:style>
  <w:style w:type="paragraph" w:styleId="ListBullet5">
    <w:name w:val="List Bullet 5"/>
    <w:basedOn w:val="List5"/>
    <w:rsid w:val="00281A2E"/>
    <w:pPr>
      <w:numPr>
        <w:numId w:val="4"/>
      </w:numPr>
    </w:pPr>
  </w:style>
  <w:style w:type="paragraph" w:styleId="ListContinue2">
    <w:name w:val="List Continue 2"/>
    <w:basedOn w:val="List2"/>
    <w:rsid w:val="00281A2E"/>
    <w:pPr>
      <w:ind w:firstLine="0"/>
    </w:pPr>
  </w:style>
  <w:style w:type="paragraph" w:styleId="ListContinue3">
    <w:name w:val="List Continue 3"/>
    <w:basedOn w:val="List3"/>
    <w:rsid w:val="00281A2E"/>
    <w:pPr>
      <w:ind w:left="1021" w:firstLine="0"/>
    </w:pPr>
  </w:style>
  <w:style w:type="paragraph" w:styleId="ListContinue4">
    <w:name w:val="List Continue 4"/>
    <w:basedOn w:val="List4"/>
    <w:rsid w:val="00281A2E"/>
    <w:pPr>
      <w:ind w:firstLine="0"/>
    </w:pPr>
  </w:style>
  <w:style w:type="paragraph" w:styleId="ListContinue5">
    <w:name w:val="List Continue 5"/>
    <w:basedOn w:val="List5"/>
    <w:rsid w:val="00281A2E"/>
    <w:pPr>
      <w:ind w:firstLine="0"/>
    </w:pPr>
  </w:style>
  <w:style w:type="paragraph" w:styleId="ListNumber3">
    <w:name w:val="List Number 3"/>
    <w:basedOn w:val="List3"/>
    <w:rsid w:val="00281A2E"/>
    <w:pPr>
      <w:numPr>
        <w:numId w:val="5"/>
      </w:numPr>
    </w:pPr>
  </w:style>
  <w:style w:type="paragraph" w:styleId="ListNumber4">
    <w:name w:val="List Number 4"/>
    <w:basedOn w:val="List4"/>
    <w:rsid w:val="00281A2E"/>
    <w:pPr>
      <w:numPr>
        <w:numId w:val="6"/>
      </w:numPr>
    </w:pPr>
  </w:style>
  <w:style w:type="paragraph" w:styleId="ListNumber5">
    <w:name w:val="List Number 5"/>
    <w:basedOn w:val="List5"/>
    <w:rsid w:val="00281A2E"/>
    <w:pPr>
      <w:numPr>
        <w:numId w:val="7"/>
      </w:numPr>
    </w:pPr>
  </w:style>
  <w:style w:type="paragraph" w:styleId="BlockText">
    <w:name w:val="Block Text"/>
    <w:basedOn w:val="Normal"/>
    <w:rsid w:val="00281A2E"/>
    <w:pPr>
      <w:spacing w:after="120"/>
      <w:ind w:left="1440" w:right="1440"/>
    </w:pPr>
  </w:style>
  <w:style w:type="character" w:customStyle="1" w:styleId="Subscript">
    <w:name w:val="Subscript"/>
    <w:basedOn w:val="DefaultParagraphFont"/>
    <w:rsid w:val="00281A2E"/>
    <w:rPr>
      <w:sz w:val="16"/>
      <w:vertAlign w:val="subscript"/>
    </w:rPr>
  </w:style>
  <w:style w:type="character" w:customStyle="1" w:styleId="Superscript">
    <w:name w:val="Superscript"/>
    <w:basedOn w:val="DefaultParagraphFont"/>
    <w:rsid w:val="00281A2E"/>
    <w:rPr>
      <w:sz w:val="16"/>
      <w:vertAlign w:val="superscript"/>
    </w:rPr>
  </w:style>
  <w:style w:type="character" w:customStyle="1" w:styleId="Symbols">
    <w:name w:val="Symbols"/>
    <w:basedOn w:val="DefaultParagraphFont"/>
    <w:rsid w:val="00281A2E"/>
    <w:rPr>
      <w:rFonts w:ascii="Symbol" w:hAnsi="Symbol"/>
    </w:rPr>
  </w:style>
  <w:style w:type="character" w:customStyle="1" w:styleId="MenuOptions">
    <w:name w:val="Menu Options"/>
    <w:basedOn w:val="DefaultParagraphFont"/>
    <w:rsid w:val="00281A2E"/>
    <w:rPr>
      <w:rFonts w:ascii="Arial Narrow" w:hAnsi="Arial Narrow"/>
      <w:smallCaps/>
    </w:rPr>
  </w:style>
  <w:style w:type="character" w:customStyle="1" w:styleId="Buttons">
    <w:name w:val="Buttons"/>
    <w:basedOn w:val="DefaultParagraphFont"/>
    <w:rsid w:val="00281A2E"/>
    <w:rPr>
      <w:b/>
    </w:rPr>
  </w:style>
  <w:style w:type="character" w:customStyle="1" w:styleId="Underlined">
    <w:name w:val="Underlined"/>
    <w:basedOn w:val="DefaultParagraphFont"/>
    <w:rsid w:val="00281A2E"/>
    <w:rPr>
      <w:u w:val="single"/>
    </w:rPr>
  </w:style>
  <w:style w:type="paragraph" w:customStyle="1" w:styleId="TableBodyTextRight">
    <w:name w:val="Table Body Text Right"/>
    <w:basedOn w:val="TableBodyText"/>
    <w:rsid w:val="00281A2E"/>
    <w:pPr>
      <w:widowControl w:val="0"/>
      <w:autoSpaceDE w:val="0"/>
      <w:autoSpaceDN w:val="0"/>
      <w:adjustRightInd w:val="0"/>
      <w:jc w:val="right"/>
    </w:pPr>
    <w:rPr>
      <w:rFonts w:cs="Arial"/>
      <w:szCs w:val="18"/>
    </w:rPr>
  </w:style>
  <w:style w:type="paragraph" w:customStyle="1" w:styleId="CopyrightText">
    <w:name w:val="Copyright Text"/>
    <w:basedOn w:val="BodyText"/>
    <w:rsid w:val="00281A2E"/>
    <w:rPr>
      <w:sz w:val="18"/>
    </w:rPr>
  </w:style>
  <w:style w:type="paragraph" w:customStyle="1" w:styleId="BodySmallRight">
    <w:name w:val="Body Small Right"/>
    <w:basedOn w:val="BodyTextRight"/>
    <w:rsid w:val="00281A2E"/>
    <w:rPr>
      <w:sz w:val="18"/>
      <w:szCs w:val="18"/>
    </w:rPr>
  </w:style>
  <w:style w:type="paragraph" w:customStyle="1" w:styleId="MarginEdition">
    <w:name w:val="Margin Edition"/>
    <w:basedOn w:val="MarginNote"/>
    <w:rsid w:val="00281A2E"/>
    <w:pPr>
      <w:spacing w:before="0" w:after="0"/>
    </w:pPr>
    <w:rPr>
      <w:rFonts w:ascii="Times New Roman" w:hAnsi="Times New Roman"/>
      <w:color w:val="999999"/>
    </w:rPr>
  </w:style>
  <w:style w:type="paragraph" w:customStyle="1" w:styleId="Spacer">
    <w:name w:val="Spacer"/>
    <w:basedOn w:val="Normal"/>
    <w:rsid w:val="00281A2E"/>
    <w:rPr>
      <w:sz w:val="2"/>
      <w:szCs w:val="2"/>
    </w:rPr>
  </w:style>
  <w:style w:type="character" w:customStyle="1" w:styleId="Small">
    <w:name w:val="Small"/>
    <w:basedOn w:val="DefaultParagraphFont"/>
    <w:rsid w:val="00281A2E"/>
    <w:rPr>
      <w:sz w:val="16"/>
    </w:rPr>
  </w:style>
  <w:style w:type="paragraph" w:customStyle="1" w:styleId="WideTable">
    <w:name w:val="Wide Table"/>
    <w:basedOn w:val="Normal"/>
    <w:rsid w:val="00281A2E"/>
    <w:pPr>
      <w:ind w:left="-1418"/>
    </w:pPr>
    <w:rPr>
      <w:sz w:val="2"/>
      <w:szCs w:val="2"/>
    </w:rPr>
  </w:style>
  <w:style w:type="character" w:styleId="PageNumber">
    <w:name w:val="page number"/>
    <w:basedOn w:val="DefaultParagraphFont"/>
    <w:rsid w:val="00281A2E"/>
  </w:style>
  <w:style w:type="paragraph" w:styleId="Quote">
    <w:name w:val="Quote"/>
    <w:basedOn w:val="Heading1"/>
    <w:link w:val="QuoteChar"/>
    <w:qFormat/>
    <w:rsid w:val="00281A2E"/>
    <w:rPr>
      <w:b w:val="0"/>
      <w:sz w:val="72"/>
      <w:szCs w:val="72"/>
      <w:lang w:val="en-NZ"/>
    </w:rPr>
  </w:style>
  <w:style w:type="character" w:customStyle="1" w:styleId="QuoteChar">
    <w:name w:val="Quote Char"/>
    <w:basedOn w:val="DefaultParagraphFont"/>
    <w:link w:val="Quote"/>
    <w:rsid w:val="00281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A2E"/>
    <w:pPr>
      <w:pageBreakBefore/>
    </w:pPr>
  </w:style>
  <w:style w:type="paragraph" w:customStyle="1" w:styleId="Border">
    <w:name w:val="Border"/>
    <w:basedOn w:val="Normal"/>
    <w:qFormat/>
    <w:rsid w:val="00281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A2E"/>
    <w:rPr>
      <w:b/>
      <w:bCs/>
      <w:i/>
      <w:iCs/>
      <w:color w:val="auto"/>
    </w:rPr>
  </w:style>
  <w:style w:type="paragraph" w:styleId="IntenseQuote">
    <w:name w:val="Intense Quote"/>
    <w:basedOn w:val="Normal"/>
    <w:next w:val="Normal"/>
    <w:link w:val="IntenseQuoteChar"/>
    <w:uiPriority w:val="30"/>
    <w:qFormat/>
    <w:rsid w:val="00281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A2E"/>
    <w:rPr>
      <w:smallCaps/>
      <w:color w:val="auto"/>
      <w:u w:val="single"/>
    </w:rPr>
  </w:style>
  <w:style w:type="character" w:styleId="IntenseReference">
    <w:name w:val="Intense Reference"/>
    <w:basedOn w:val="DefaultParagraphFont"/>
    <w:uiPriority w:val="32"/>
    <w:qFormat/>
    <w:rsid w:val="00281A2E"/>
    <w:rPr>
      <w:b/>
      <w:bCs/>
      <w:smallCaps/>
      <w:color w:val="auto"/>
      <w:spacing w:val="5"/>
      <w:u w:val="single"/>
    </w:rPr>
  </w:style>
  <w:style w:type="paragraph" w:customStyle="1" w:styleId="2ColumnHeading">
    <w:name w:val="2Column Heading"/>
    <w:basedOn w:val="BodyText"/>
    <w:qFormat/>
    <w:rsid w:val="00281A2E"/>
    <w:pPr>
      <w:spacing w:after="60"/>
      <w:ind w:left="-2268"/>
    </w:pPr>
    <w:rPr>
      <w:b/>
    </w:rPr>
  </w:style>
  <w:style w:type="paragraph" w:customStyle="1" w:styleId="Heading1TOC">
    <w:name w:val="Heading1 TOC"/>
    <w:basedOn w:val="Normal"/>
    <w:qFormat/>
    <w:rsid w:val="00281A2E"/>
    <w:pPr>
      <w:spacing w:before="240" w:after="120"/>
    </w:pPr>
    <w:rPr>
      <w:rFonts w:ascii="Times New Roman" w:hAnsi="Times New Roman"/>
      <w:b/>
      <w:sz w:val="32"/>
    </w:rPr>
  </w:style>
  <w:style w:type="paragraph" w:customStyle="1" w:styleId="Heading2TOC">
    <w:name w:val="Heading2 TOC"/>
    <w:basedOn w:val="Normal"/>
    <w:qFormat/>
    <w:rsid w:val="00281A2E"/>
    <w:pPr>
      <w:spacing w:before="240" w:after="60"/>
    </w:pPr>
    <w:rPr>
      <w:rFonts w:ascii="Times New Roman" w:hAnsi="Times New Roman"/>
      <w:b/>
      <w:sz w:val="28"/>
    </w:rPr>
  </w:style>
  <w:style w:type="character" w:customStyle="1" w:styleId="Underline">
    <w:name w:val="Underline"/>
    <w:basedOn w:val="DefaultParagraphFont"/>
    <w:qFormat/>
    <w:rsid w:val="00281A2E"/>
    <w:rPr>
      <w:u w:val="single"/>
    </w:rPr>
  </w:style>
  <w:style w:type="character" w:customStyle="1" w:styleId="BoldandItalics">
    <w:name w:val="Bold and Italics"/>
    <w:qFormat/>
    <w:rsid w:val="00281A2E"/>
    <w:rPr>
      <w:b/>
      <w:i/>
      <w:u w:val="none"/>
    </w:rPr>
  </w:style>
  <w:style w:type="paragraph" w:styleId="BalloonText">
    <w:name w:val="Balloon Text"/>
    <w:basedOn w:val="Normal"/>
    <w:link w:val="BalloonTextChar"/>
    <w:rsid w:val="00281A2E"/>
    <w:rPr>
      <w:rFonts w:ascii="Tahoma" w:hAnsi="Tahoma" w:cs="Tahoma"/>
      <w:sz w:val="16"/>
      <w:szCs w:val="16"/>
    </w:rPr>
  </w:style>
  <w:style w:type="character" w:customStyle="1" w:styleId="BalloonTextChar">
    <w:name w:val="Balloon Text Char"/>
    <w:basedOn w:val="DefaultParagraphFont"/>
    <w:link w:val="BalloonText"/>
    <w:rsid w:val="00281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A2E"/>
    <w:rPr>
      <w:b/>
      <w:color w:val="660033"/>
      <w:spacing w:val="0"/>
    </w:rPr>
  </w:style>
  <w:style w:type="paragraph" w:customStyle="1" w:styleId="Nameditemlist">
    <w:name w:val="Named item list"/>
    <w:basedOn w:val="BodyText"/>
    <w:qFormat/>
    <w:rsid w:val="00281A2E"/>
    <w:pPr>
      <w:tabs>
        <w:tab w:val="left" w:pos="2835"/>
      </w:tabs>
      <w:ind w:left="2835" w:hanging="2835"/>
    </w:pPr>
  </w:style>
  <w:style w:type="paragraph" w:customStyle="1" w:styleId="BodyTextnopadding">
    <w:name w:val="Body Text no padding"/>
    <w:basedOn w:val="BodyText"/>
    <w:qFormat/>
    <w:rsid w:val="00281A2E"/>
    <w:pPr>
      <w:spacing w:before="0" w:after="0"/>
    </w:pPr>
  </w:style>
  <w:style w:type="paragraph" w:customStyle="1" w:styleId="BodyTextBold">
    <w:name w:val="Body Text Bold"/>
    <w:basedOn w:val="BodyText"/>
    <w:qFormat/>
    <w:rsid w:val="00281A2E"/>
    <w:rPr>
      <w:b/>
    </w:rPr>
  </w:style>
  <w:style w:type="character" w:styleId="Hyperlink">
    <w:name w:val="Hyperlink"/>
    <w:basedOn w:val="DefaultParagraphFont"/>
    <w:uiPriority w:val="99"/>
    <w:unhideWhenUsed/>
    <w:rsid w:val="00401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7844</Characters>
  <Application>Microsoft Office Word</Application>
  <DocSecurity>0</DocSecurity>
  <Lines>201</Lines>
  <Paragraphs>128</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MEM48003 Monitor nonferrous melting and casting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