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049" w:rsidP="002E6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MEM48003 Monitor nonferrous melting and casting processes</w:t>
      </w:r>
      <w:r>
        <w:fldChar w:fldCharType="end"/>
      </w:r>
    </w:p>
    <w:p w:rsidR="002E6049" w:rsidP="002E6049">
      <w:pPr>
        <w:pStyle w:val="Version"/>
        <w:sectPr w:rsidSect="00B30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B03" w:rsidP="00B30B03">
      <w:pPr>
        <w:pStyle w:val="SuperHeading"/>
      </w:pPr>
      <w:r w:rsidRPr="00B30B03">
        <w:t>Assessment Requirements for MEM48003 Monitor nonferrous melting and casting processes</w:t>
      </w:r>
    </w:p>
    <w:p w:rsidR="00000000" w:rsidRPr="00B30B03" w:rsidP="00B30B03">
      <w:pPr>
        <w:pStyle w:val="Heading1"/>
      </w:pPr>
      <w:bookmarkStart w:id="1" w:name="O_949785"/>
      <w:bookmarkEnd w:id="1"/>
      <w:r w:rsidRPr="00B30B03">
        <w:t>Modification History</w:t>
      </w:r>
    </w:p>
    <w:p w:rsidR="00000000" w:rsidRPr="00B30B03" w:rsidP="002E6049">
      <w:pPr>
        <w:pStyle w:val="BodyText"/>
      </w:pPr>
      <w:r w:rsidRPr="00B30B03">
        <w:t>Release 1. Supersedes and is equivalent to MSATCM303A Monitor non-ferrous melting and casting processes.</w:t>
      </w:r>
    </w:p>
    <w:p w:rsidR="00000000" w:rsidRPr="00B30B03" w:rsidP="00B30B03">
      <w:pPr>
        <w:pStyle w:val="Heading1"/>
      </w:pPr>
      <w:bookmarkStart w:id="2" w:name="O_949788"/>
      <w:bookmarkEnd w:id="2"/>
      <w:r w:rsidRPr="00B30B03">
        <w:t>Performance Evidence</w:t>
      </w:r>
    </w:p>
    <w:p w:rsidR="00000000" w:rsidRPr="00B30B03" w:rsidP="002E6049">
      <w:pPr>
        <w:pStyle w:val="BodyText"/>
      </w:pPr>
      <w:r w:rsidRPr="00B30B03">
        <w:t>Evidence required to demonstrate competence in this unit must be relevant to and satisfy the requirements of the elements and performance criteria and include:</w:t>
      </w:r>
    </w:p>
    <w:p w:rsidR="00000000" w:rsidRPr="00B30B03" w:rsidP="00B30B03">
      <w:pPr>
        <w:pStyle w:val="ListBullet"/>
      </w:pPr>
      <w:r w:rsidRPr="00B30B03">
        <w:t>following work instructions, standard operating procedures (SOPs) and safe</w:t>
      </w:r>
      <w:r w:rsidRPr="00B30B03">
        <w:t xml:space="preserve"> work practices</w:t>
      </w:r>
    </w:p>
    <w:p w:rsidR="00000000" w:rsidRPr="00B30B03" w:rsidP="00B30B03">
      <w:pPr>
        <w:pStyle w:val="ListBullet"/>
      </w:pPr>
      <w:r w:rsidRPr="00B30B03">
        <w:t>identifying and interpreting specifications, safety procedures and codes of practice and/or standards for the required melting and casting processes</w:t>
      </w:r>
    </w:p>
    <w:p w:rsidR="00000000" w:rsidRPr="00B30B03" w:rsidP="00B30B03">
      <w:pPr>
        <w:pStyle w:val="ListBullet"/>
      </w:pPr>
      <w:r w:rsidRPr="00B30B03">
        <w:t>calculating charges</w:t>
      </w:r>
    </w:p>
    <w:p w:rsidR="00000000" w:rsidRPr="00B30B03" w:rsidP="00B30B03">
      <w:pPr>
        <w:pStyle w:val="ListBullet"/>
      </w:pPr>
      <w:r w:rsidRPr="00B30B03">
        <w:t>checking for contaminates when verifying metal changes to melting on at</w:t>
      </w:r>
      <w:r w:rsidRPr="00B30B03">
        <w:t xml:space="preserve"> least two occasions and recommending changes and/or additions to the charge as required</w:t>
      </w:r>
    </w:p>
    <w:p w:rsidR="00000000" w:rsidRPr="00B30B03" w:rsidP="00B30B03">
      <w:pPr>
        <w:pStyle w:val="ListBullet"/>
      </w:pPr>
      <w:r w:rsidRPr="00B30B03">
        <w:t>performing visual checking of furnaces for operational condition and safety risks on at least two occasions</w:t>
      </w:r>
    </w:p>
    <w:p w:rsidR="00000000" w:rsidRPr="00B30B03" w:rsidP="00B30B03">
      <w:pPr>
        <w:pStyle w:val="ListBullet"/>
      </w:pPr>
      <w:r w:rsidRPr="00B30B03">
        <w:t>taking samples on at least two occasions for analysis in ac</w:t>
      </w:r>
      <w:r w:rsidRPr="00B30B03">
        <w:t>cordance with work health and safety (WHS) and quality procedures.</w:t>
      </w:r>
    </w:p>
    <w:p w:rsidR="00000000" w:rsidRPr="002E6049" w:rsidP="002E6049">
      <w:pPr>
        <w:pStyle w:val="BodyText"/>
        <w:rPr>
          <w:i/>
        </w:rPr>
      </w:pPr>
      <w:r w:rsidRPr="002E6049">
        <w:rPr>
          <w:rStyle w:val="Emphasis"/>
        </w:rPr>
        <w:t>Note: Where a volume and/or frequency is not specified, demonstration must be provided at least once.</w:t>
      </w:r>
    </w:p>
    <w:p w:rsidR="00000000" w:rsidRPr="00B30B03" w:rsidP="00B30B03">
      <w:pPr>
        <w:pStyle w:val="Heading1"/>
      </w:pPr>
      <w:bookmarkStart w:id="3" w:name="O_949787"/>
      <w:bookmarkEnd w:id="3"/>
      <w:r w:rsidRPr="00B30B03">
        <w:t>Knowledge Evidence</w:t>
      </w:r>
    </w:p>
    <w:p w:rsidR="00000000" w:rsidRPr="00B30B03" w:rsidP="002E6049">
      <w:pPr>
        <w:pStyle w:val="BodyText"/>
      </w:pPr>
      <w:r w:rsidRPr="00B30B03">
        <w:t>Evidence required to demonstrate the required knowl</w:t>
      </w:r>
      <w:r w:rsidRPr="00B30B03">
        <w:t>edge for this unit must be relevant to and satisfy the requirements of the elements and performance criteria and include knowledge of:</w:t>
      </w:r>
    </w:p>
    <w:p w:rsidR="00000000" w:rsidRPr="00B30B03" w:rsidP="00B30B03">
      <w:pPr>
        <w:pStyle w:val="ListBullet"/>
      </w:pPr>
      <w:r w:rsidRPr="00B30B03">
        <w:t>safe work practices and procedures and use of personal protective equipment (PPE)</w:t>
      </w:r>
    </w:p>
    <w:p w:rsidR="00000000" w:rsidRPr="00B30B03" w:rsidP="00B30B03">
      <w:pPr>
        <w:pStyle w:val="ListBullet"/>
      </w:pPr>
      <w:r w:rsidRPr="00B30B03">
        <w:t>types of moulds</w:t>
      </w:r>
    </w:p>
    <w:p w:rsidR="00000000" w:rsidRPr="00B30B03" w:rsidP="00B30B03">
      <w:pPr>
        <w:pStyle w:val="ListBullet"/>
      </w:pPr>
      <w:r w:rsidRPr="00B30B03">
        <w:t>charge calculations in</w:t>
      </w:r>
      <w:r w:rsidRPr="00B30B03">
        <w:t>cluding importance of composition control, methods used to calculate for additions and types of alloy additions</w:t>
      </w:r>
    </w:p>
    <w:p w:rsidR="00000000" w:rsidRPr="00B30B03" w:rsidP="00B30B03">
      <w:pPr>
        <w:pStyle w:val="ListBullet"/>
      </w:pPr>
      <w:r w:rsidRPr="00B30B03">
        <w:t>nonferrous alloys including definitions and their physical properties, density, tensile, hardness, melting points, shrinking percentage, fluidit</w:t>
      </w:r>
      <w:r w:rsidRPr="00B30B03">
        <w:t>y, brass, bronze, gunmetal, copper-based alloys, aluminium based alloys and lead</w:t>
      </w:r>
    </w:p>
    <w:p w:rsidR="00000000" w:rsidRPr="00B30B03" w:rsidP="00B30B03">
      <w:pPr>
        <w:pStyle w:val="ListBullet"/>
      </w:pPr>
      <w:r w:rsidRPr="00B30B03">
        <w:t>selection including customer and manufacturer’s requirements, metal analysis and Australian Standards</w:t>
      </w:r>
    </w:p>
    <w:p w:rsidR="00000000" w:rsidRPr="00B30B03" w:rsidP="00B30B03">
      <w:pPr>
        <w:pStyle w:val="ListBullet"/>
      </w:pPr>
      <w:r w:rsidRPr="00B30B03">
        <w:t>types of furnaces and their maintenance including crucible, oil, gas, ind</w:t>
      </w:r>
      <w:r w:rsidRPr="00B30B03">
        <w:t>uction, channel, coreless, resistance and reverberatory</w:t>
      </w:r>
    </w:p>
    <w:p w:rsidR="00000000" w:rsidRPr="00B30B03" w:rsidP="00B30B03">
      <w:pPr>
        <w:pStyle w:val="ListBullet"/>
      </w:pPr>
      <w:r w:rsidRPr="00B30B03">
        <w:t>refractories including silica, ganister, coatings and others common to nonferrous</w:t>
      </w:r>
    </w:p>
    <w:p w:rsidR="00000000" w:rsidRPr="00B30B03" w:rsidP="00B30B03">
      <w:pPr>
        <w:pStyle w:val="ListBullet"/>
      </w:pPr>
      <w:r w:rsidRPr="00B30B03">
        <w:t>linings including monolithic, castable, rammable and bricks</w:t>
      </w:r>
    </w:p>
    <w:p w:rsidR="00000000" w:rsidRPr="00B30B03" w:rsidP="00B30B03">
      <w:pPr>
        <w:pStyle w:val="ListBullet"/>
      </w:pPr>
      <w:r w:rsidRPr="00B30B03">
        <w:t>types of ladles, crucibles, safety, maintenance, care of crucibles and porous plug</w:t>
      </w:r>
    </w:p>
    <w:p w:rsidR="00000000" w:rsidRPr="00B30B03" w:rsidP="00B30B03">
      <w:pPr>
        <w:pStyle w:val="ListBullet"/>
      </w:pPr>
      <w:r w:rsidRPr="00B30B03">
        <w:t>safety including housekeeping, PPE, dry area, pre-heating of ladles and overhead cranes</w:t>
      </w:r>
    </w:p>
    <w:p w:rsidR="00000000" w:rsidRPr="00B30B03" w:rsidP="00B30B03">
      <w:pPr>
        <w:pStyle w:val="ListBullet"/>
      </w:pPr>
      <w:r w:rsidRPr="00B30B03">
        <w:t>furnace operation procedures including PPE, dry charge and equipment, pre-heating, sc</w:t>
      </w:r>
      <w:r w:rsidRPr="00B30B03">
        <w:t>rap selection, housekeeping, melting and alloying program, charge calculations including percentages, ratio and proportion, calculations including volume and mass, operation and maintenance</w:t>
      </w:r>
    </w:p>
    <w:p w:rsidR="00000000" w:rsidRPr="00B30B03" w:rsidP="00B30B03">
      <w:pPr>
        <w:pStyle w:val="ListBullet"/>
      </w:pPr>
      <w:r w:rsidRPr="00B30B03">
        <w:t>lifting and handling equipment including tongs, shanks, cranes, ho</w:t>
      </w:r>
      <w:r w:rsidRPr="00B30B03">
        <w:t>ists, bogey ladles and maintenance</w:t>
      </w:r>
    </w:p>
    <w:p w:rsidR="00000000" w:rsidRPr="00B30B03" w:rsidP="00B30B03">
      <w:pPr>
        <w:pStyle w:val="ListBullet"/>
      </w:pPr>
      <w:r w:rsidRPr="00B30B03">
        <w:t>types of control equipment including thermal analysis, pyrometers, gas analysis, chemical analysis, wet, dry, spectrograph, fluidity and shrinkage test</w:t>
      </w:r>
    </w:p>
    <w:p w:rsidR="00000000" w:rsidRPr="00B30B03" w:rsidP="00B30B03">
      <w:pPr>
        <w:pStyle w:val="ListBullet"/>
      </w:pPr>
      <w:r w:rsidRPr="00B30B03">
        <w:t>quality control including accurate weighing, correct chemical analysi</w:t>
      </w:r>
      <w:r w:rsidRPr="00B30B03">
        <w:t>s, temperature control, covers and fluxes, mould and metal reactions, thermal analysis, degassing, deoxidising and ladle refining</w:t>
      </w:r>
    </w:p>
    <w:p w:rsidR="00000000" w:rsidRPr="00B30B03" w:rsidP="00B30B03">
      <w:pPr>
        <w:pStyle w:val="ListBullet"/>
      </w:pPr>
      <w:r w:rsidRPr="00B30B03">
        <w:t>types of defects including contamination, gas absorption, metal analysis, temperature control, oxidation and other defects com</w:t>
      </w:r>
      <w:r w:rsidRPr="00B30B03">
        <w:t>mon to nonferrous metals</w:t>
      </w:r>
    </w:p>
    <w:p w:rsidR="00000000" w:rsidRPr="00B30B03" w:rsidP="00B30B03">
      <w:pPr>
        <w:pStyle w:val="ListBullet"/>
      </w:pPr>
      <w:r w:rsidRPr="00B30B03">
        <w:t>methods of avoiding and overcoming defects</w:t>
      </w:r>
    </w:p>
    <w:p w:rsidR="00000000" w:rsidRPr="00B30B03" w:rsidP="00B30B03">
      <w:pPr>
        <w:pStyle w:val="ListBullet"/>
      </w:pPr>
      <w:r w:rsidRPr="00B30B03">
        <w:t>alloy production including charge, analysis, calculation, preparation and melt control</w:t>
      </w:r>
    </w:p>
    <w:p w:rsidR="002E6049" w:rsidP="00B30B03">
      <w:pPr>
        <w:pStyle w:val="ListBullet"/>
      </w:pPr>
      <w:r w:rsidRPr="00B30B03">
        <w:t>tapping and pouring including pouring method sequence, temperature check, capacity requirements, ladl</w:t>
      </w:r>
      <w:r w:rsidRPr="00B30B03">
        <w:t>e and crucibles, checks, preparation, pre-heating, transfer including safety clips, filling, metal maintenance, covers and fluxes, temperature, metal pouring, mould condition, test bar including reasons and method, pig pouring and tagging, ladle and crucib</w:t>
      </w:r>
      <w:r w:rsidRPr="00B30B03">
        <w:t>le return, emptying, cleaning, maintaining, lubrication, repairs and cleaning of refractory.</w:t>
      </w:r>
    </w:p>
    <w:p w:rsidR="002E6049" w:rsidP="00B30B03">
      <w:pPr>
        <w:pStyle w:val="ListBullet"/>
      </w:pPr>
    </w:p>
    <w:p w:rsidR="00000000" w:rsidRPr="00B30B03" w:rsidP="00B30B03">
      <w:pPr>
        <w:pStyle w:val="Heading1"/>
      </w:pPr>
      <w:bookmarkStart w:id="4" w:name="O_949786"/>
      <w:bookmarkEnd w:id="4"/>
      <w:r w:rsidRPr="00B30B03">
        <w:t>Assessment Conditions</w:t>
      </w:r>
    </w:p>
    <w:p w:rsidR="00000000" w:rsidRPr="00B30B03" w:rsidP="00B30B03">
      <w:pPr>
        <w:pStyle w:val="ListBullet"/>
      </w:pPr>
      <w:r w:rsidRPr="00B30B03">
        <w:t>Assessors must:</w:t>
      </w:r>
    </w:p>
    <w:p w:rsidR="00000000" w:rsidRPr="00B30B03" w:rsidP="00B30B03">
      <w:pPr>
        <w:pStyle w:val="ListBullet2"/>
      </w:pPr>
      <w:r w:rsidRPr="00B30B03">
        <w:t>have vocational competency in monitoring nonferrous melting and casting processes at least to the level b</w:t>
      </w:r>
      <w:r w:rsidRPr="00B30B03">
        <w:t>eing assessed with relevant industry knowledge and experience</w:t>
      </w:r>
    </w:p>
    <w:p w:rsidR="00000000" w:rsidRPr="00B30B03" w:rsidP="00B30B03">
      <w:pPr>
        <w:pStyle w:val="ListBullet2"/>
      </w:pPr>
      <w:r w:rsidRPr="00B30B03">
        <w:t xml:space="preserve">satisfy the assessor requirements in the </w:t>
      </w:r>
      <w:r w:rsidRPr="00B30B03">
        <w:rPr>
          <w:rStyle w:val="Emphasis"/>
        </w:rPr>
        <w:t xml:space="preserve">Standards for Registered Training Organisations 2015 </w:t>
      </w:r>
      <w:r w:rsidRPr="00B30B03">
        <w:t>or its replacement</w:t>
      </w:r>
      <w:r w:rsidRPr="00B30B03">
        <w:rPr>
          <w:rStyle w:val="Emphasis"/>
        </w:rPr>
        <w:t xml:space="preserve"> </w:t>
      </w:r>
      <w:r w:rsidRPr="00B30B03">
        <w:t xml:space="preserve">and comply with the </w:t>
      </w:r>
      <w:r w:rsidRPr="00B30B03">
        <w:rPr>
          <w:rStyle w:val="Emphasis"/>
        </w:rPr>
        <w:t xml:space="preserve">National Vocational Education and Training Regulator Act 2011, </w:t>
      </w:r>
      <w:r w:rsidRPr="00B30B03">
        <w:t>its replacement</w:t>
      </w:r>
      <w:r w:rsidRPr="00B30B03">
        <w:rPr>
          <w:rStyle w:val="Emphasis"/>
        </w:rPr>
        <w:t xml:space="preserve"> </w:t>
      </w:r>
      <w:r w:rsidRPr="00B30B03">
        <w:t>or equivalent legislation covering VET regulation in a non-referring state/territory as the case requires.</w:t>
      </w:r>
    </w:p>
    <w:p w:rsidR="00000000" w:rsidRPr="00B30B03" w:rsidP="00B30B03">
      <w:pPr>
        <w:pStyle w:val="ListBullet"/>
      </w:pPr>
      <w:r w:rsidRPr="00B30B03">
        <w:t>Where possible, assessment must occur in operational workplace situat</w:t>
      </w:r>
      <w:r w:rsidRPr="00B30B03">
        <w:t>ions. Where this is not possible or where personal safety or environmental damage are limiting factors, assessment must occur in a sufficiently rigorous simulated environment that reflects realistic operational workplace conditions that cover all aspects o</w:t>
      </w:r>
      <w:r w:rsidRPr="00B30B03">
        <w:t>f workplace performance, including environment, task skills, task management skills, contingency management skills and job role environment skills.</w:t>
      </w:r>
    </w:p>
    <w:p w:rsidR="00000000" w:rsidRPr="00B30B03" w:rsidP="00B30B03">
      <w:pPr>
        <w:pStyle w:val="ListBullet"/>
      </w:pPr>
      <w:r w:rsidRPr="00B30B03">
        <w:t xml:space="preserve">Conditions for assessment must include access to all tools, equipment, materials and documentation required </w:t>
      </w:r>
      <w:r w:rsidRPr="00B30B03">
        <w:t>including relevant workplace procedures, product and manufacturing specifications.</w:t>
      </w:r>
    </w:p>
    <w:p w:rsidR="00000000" w:rsidRPr="00B30B03" w:rsidP="00B30B03">
      <w:pPr>
        <w:pStyle w:val="ListBullet"/>
      </w:pPr>
      <w:r w:rsidRPr="00B30B03">
        <w:t>Assessment processes and techniques must be appropriate to the language, literacy and numeracy requirements of the work being performed and the needs of the candidate.</w:t>
      </w:r>
    </w:p>
    <w:p w:rsidR="00000000" w:rsidRPr="00B30B03" w:rsidP="00B30B03">
      <w:pPr>
        <w:pStyle w:val="AllowPageBreak"/>
      </w:pPr>
    </w:p>
    <w:p w:rsidR="00000000" w:rsidRPr="00B30B03" w:rsidP="00B30B03">
      <w:pPr>
        <w:pStyle w:val="Heading1"/>
      </w:pPr>
      <w:bookmarkStart w:id="5" w:name="O_949784"/>
      <w:bookmarkEnd w:id="5"/>
      <w:r w:rsidRPr="00B30B03">
        <w:t>Links</w:t>
      </w:r>
    </w:p>
    <w:p w:rsidR="00000000" w:rsidRPr="00B30B03" w:rsidP="002E6049">
      <w:pPr>
        <w:pStyle w:val="BodyText"/>
      </w:pPr>
      <w:r w:rsidRPr="00B30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675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30B03" w:rsidP="00B30B03"/>
    <w:sectPr w:rsidSect="00B30B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B03" w:rsidRPr="002E6049" w:rsidP="002E6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49" w:rsidP="00B30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049" w:rsidP="00B30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6049" w:rsidP="00B30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B03" w:rsidRPr="002E6049" w:rsidP="002E6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049" w:rsidRPr="002D2AF8" w:rsidP="00B30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MEM48003 Monitor nonferrous melting and casting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E6049" w:rsidP="00B30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C012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324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5076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B03"/>
  </w:style>
  <w:style w:type="character" w:customStyle="1" w:styleId="Heading1Char">
    <w:name w:val="Heading 1 Char"/>
    <w:basedOn w:val="DefaultParagraphFont"/>
    <w:link w:val="Heading1"/>
    <w:rsid w:val="00B30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B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0B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0B03"/>
    <w:rPr>
      <w:i/>
    </w:rPr>
  </w:style>
  <w:style w:type="paragraph" w:customStyle="1" w:styleId="SuperHeading">
    <w:name w:val="SuperHeading"/>
    <w:basedOn w:val="Normal"/>
    <w:rsid w:val="00B30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0B03"/>
    <w:rPr>
      <w:b/>
      <w:spacing w:val="0"/>
    </w:rPr>
  </w:style>
  <w:style w:type="paragraph" w:customStyle="1" w:styleId="SuperTitle">
    <w:name w:val="SuperTitle"/>
    <w:basedOn w:val="Title"/>
    <w:rsid w:val="00B30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B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B03"/>
  </w:style>
  <w:style w:type="paragraph" w:styleId="TableofFigures">
    <w:name w:val="table of figures"/>
    <w:basedOn w:val="Normal"/>
    <w:next w:val="Normal"/>
    <w:semiHidden/>
    <w:rsid w:val="00B30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B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0B03"/>
    <w:rPr>
      <w:rFonts w:ascii="Wingdings" w:hAnsi="Wingdings"/>
    </w:rPr>
  </w:style>
  <w:style w:type="paragraph" w:customStyle="1" w:styleId="TableHeading">
    <w:name w:val="Table Heading"/>
    <w:basedOn w:val="HeadingBase"/>
    <w:rsid w:val="00B30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B03"/>
    <w:rPr>
      <w:color w:val="0033CC"/>
      <w:u w:val="none"/>
    </w:rPr>
  </w:style>
  <w:style w:type="paragraph" w:customStyle="1" w:styleId="BodyTextRight">
    <w:name w:val="Body Text Right"/>
    <w:basedOn w:val="BodyText"/>
    <w:rsid w:val="00B30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B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B03"/>
    <w:rPr>
      <w:sz w:val="32"/>
    </w:rPr>
  </w:style>
  <w:style w:type="paragraph" w:customStyle="1" w:styleId="HeadingProcedure">
    <w:name w:val="Heading Procedure"/>
    <w:basedOn w:val="HeadingBase"/>
    <w:next w:val="Normal"/>
    <w:rsid w:val="00B30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B03"/>
    <w:pPr>
      <w:spacing w:before="60" w:after="60"/>
    </w:pPr>
  </w:style>
  <w:style w:type="paragraph" w:styleId="ListContinue">
    <w:name w:val="List Continue"/>
    <w:basedOn w:val="List"/>
    <w:rsid w:val="00B30B03"/>
    <w:pPr>
      <w:ind w:firstLine="0"/>
    </w:pPr>
  </w:style>
  <w:style w:type="paragraph" w:customStyle="1" w:styleId="ListNote">
    <w:name w:val="List Note"/>
    <w:basedOn w:val="List"/>
    <w:rsid w:val="00B30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B03"/>
    <w:rPr>
      <w:rFonts w:ascii="Courier New" w:hAnsi="Courier New"/>
    </w:rPr>
  </w:style>
  <w:style w:type="paragraph" w:customStyle="1" w:styleId="NoteBullet">
    <w:name w:val="Note Bullet"/>
    <w:basedOn w:val="Note"/>
    <w:rsid w:val="00B30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B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0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B03"/>
    <w:rPr>
      <w:b/>
      <w:smallCaps/>
    </w:rPr>
  </w:style>
  <w:style w:type="paragraph" w:customStyle="1" w:styleId="TableListNumber">
    <w:name w:val="Table List Number"/>
    <w:basedOn w:val="ListNumber"/>
    <w:rsid w:val="00B30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B03"/>
    <w:pPr>
      <w:numPr>
        <w:numId w:val="9"/>
      </w:numPr>
    </w:pPr>
  </w:style>
  <w:style w:type="paragraph" w:customStyle="1" w:styleId="ListAlpha2">
    <w:name w:val="List Alpha 2"/>
    <w:basedOn w:val="List2"/>
    <w:rsid w:val="00B30B03"/>
    <w:pPr>
      <w:numPr>
        <w:numId w:val="8"/>
      </w:numPr>
    </w:pPr>
  </w:style>
  <w:style w:type="paragraph" w:styleId="List2">
    <w:name w:val="List 2"/>
    <w:basedOn w:val="BodyText"/>
    <w:rsid w:val="00B30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B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B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B03"/>
    <w:pPr>
      <w:numPr>
        <w:numId w:val="4"/>
      </w:numPr>
    </w:pPr>
  </w:style>
  <w:style w:type="paragraph" w:styleId="ListContinue2">
    <w:name w:val="List Continue 2"/>
    <w:basedOn w:val="List2"/>
    <w:rsid w:val="00B30B03"/>
    <w:pPr>
      <w:ind w:firstLine="0"/>
    </w:pPr>
  </w:style>
  <w:style w:type="paragraph" w:styleId="ListContinue3">
    <w:name w:val="List Continue 3"/>
    <w:basedOn w:val="List3"/>
    <w:rsid w:val="00B30B03"/>
    <w:pPr>
      <w:ind w:left="1021" w:firstLine="0"/>
    </w:pPr>
  </w:style>
  <w:style w:type="paragraph" w:styleId="ListContinue4">
    <w:name w:val="List Continue 4"/>
    <w:basedOn w:val="List4"/>
    <w:rsid w:val="00B30B03"/>
    <w:pPr>
      <w:ind w:firstLine="0"/>
    </w:pPr>
  </w:style>
  <w:style w:type="paragraph" w:styleId="ListContinue5">
    <w:name w:val="List Continue 5"/>
    <w:basedOn w:val="List5"/>
    <w:rsid w:val="00B30B03"/>
    <w:pPr>
      <w:ind w:firstLine="0"/>
    </w:pPr>
  </w:style>
  <w:style w:type="paragraph" w:styleId="ListNumber3">
    <w:name w:val="List Number 3"/>
    <w:basedOn w:val="List3"/>
    <w:rsid w:val="00B30B03"/>
    <w:pPr>
      <w:numPr>
        <w:numId w:val="5"/>
      </w:numPr>
    </w:pPr>
  </w:style>
  <w:style w:type="paragraph" w:styleId="ListNumber4">
    <w:name w:val="List Number 4"/>
    <w:basedOn w:val="List4"/>
    <w:rsid w:val="00B30B03"/>
    <w:pPr>
      <w:numPr>
        <w:numId w:val="6"/>
      </w:numPr>
    </w:pPr>
  </w:style>
  <w:style w:type="paragraph" w:styleId="ListNumber5">
    <w:name w:val="List Number 5"/>
    <w:basedOn w:val="List5"/>
    <w:rsid w:val="00B30B03"/>
    <w:pPr>
      <w:numPr>
        <w:numId w:val="7"/>
      </w:numPr>
    </w:pPr>
  </w:style>
  <w:style w:type="paragraph" w:styleId="BlockText">
    <w:name w:val="Block Text"/>
    <w:basedOn w:val="Normal"/>
    <w:rsid w:val="00B30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B03"/>
    <w:rPr>
      <w:sz w:val="16"/>
      <w:vertAlign w:val="superscript"/>
    </w:rPr>
  </w:style>
  <w:style w:type="character" w:customStyle="1" w:styleId="Symbols">
    <w:name w:val="Symbols"/>
    <w:basedOn w:val="DefaultParagraphFont"/>
    <w:rsid w:val="00B30B03"/>
    <w:rPr>
      <w:rFonts w:ascii="Symbol" w:hAnsi="Symbol"/>
    </w:rPr>
  </w:style>
  <w:style w:type="character" w:customStyle="1" w:styleId="MenuOptions">
    <w:name w:val="Menu Options"/>
    <w:basedOn w:val="DefaultParagraphFont"/>
    <w:rsid w:val="00B30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B03"/>
    <w:rPr>
      <w:b/>
    </w:rPr>
  </w:style>
  <w:style w:type="character" w:customStyle="1" w:styleId="Underlined">
    <w:name w:val="Underlined"/>
    <w:basedOn w:val="DefaultParagraphFont"/>
    <w:rsid w:val="00B30B03"/>
    <w:rPr>
      <w:u w:val="single"/>
    </w:rPr>
  </w:style>
  <w:style w:type="paragraph" w:customStyle="1" w:styleId="TableBodyTextRight">
    <w:name w:val="Table Body Text Right"/>
    <w:basedOn w:val="TableBodyText"/>
    <w:rsid w:val="00B30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B03"/>
    <w:rPr>
      <w:sz w:val="18"/>
    </w:rPr>
  </w:style>
  <w:style w:type="paragraph" w:customStyle="1" w:styleId="BodySmallRight">
    <w:name w:val="Body Small Right"/>
    <w:basedOn w:val="BodyTextRight"/>
    <w:rsid w:val="00B30B03"/>
    <w:rPr>
      <w:sz w:val="18"/>
      <w:szCs w:val="18"/>
    </w:rPr>
  </w:style>
  <w:style w:type="paragraph" w:customStyle="1" w:styleId="MarginEdition">
    <w:name w:val="Margin Edition"/>
    <w:basedOn w:val="MarginNote"/>
    <w:rsid w:val="00B30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B03"/>
    <w:rPr>
      <w:sz w:val="2"/>
      <w:szCs w:val="2"/>
    </w:rPr>
  </w:style>
  <w:style w:type="character" w:customStyle="1" w:styleId="Small">
    <w:name w:val="Small"/>
    <w:basedOn w:val="DefaultParagraphFont"/>
    <w:rsid w:val="00B30B03"/>
    <w:rPr>
      <w:sz w:val="16"/>
    </w:rPr>
  </w:style>
  <w:style w:type="paragraph" w:customStyle="1" w:styleId="WideTable">
    <w:name w:val="Wide Table"/>
    <w:basedOn w:val="Normal"/>
    <w:rsid w:val="00B30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B03"/>
  </w:style>
  <w:style w:type="paragraph" w:styleId="Quote">
    <w:name w:val="Quote"/>
    <w:basedOn w:val="Heading1"/>
    <w:link w:val="QuoteChar"/>
    <w:qFormat/>
    <w:rsid w:val="00B30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B03"/>
    <w:pPr>
      <w:pageBreakBefore/>
    </w:pPr>
  </w:style>
  <w:style w:type="paragraph" w:customStyle="1" w:styleId="Border">
    <w:name w:val="Border"/>
    <w:basedOn w:val="Normal"/>
    <w:qFormat/>
    <w:rsid w:val="00B30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B03"/>
    <w:rPr>
      <w:u w:val="single"/>
    </w:rPr>
  </w:style>
  <w:style w:type="character" w:customStyle="1" w:styleId="BoldandItalics">
    <w:name w:val="Bold and Italics"/>
    <w:qFormat/>
    <w:rsid w:val="00B30B03"/>
    <w:rPr>
      <w:b/>
      <w:i/>
      <w:u w:val="none"/>
    </w:rPr>
  </w:style>
  <w:style w:type="paragraph" w:styleId="BalloonText">
    <w:name w:val="Balloon Text"/>
    <w:basedOn w:val="Normal"/>
    <w:link w:val="BalloonTextChar"/>
    <w:rsid w:val="00B30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B03"/>
    <w:pPr>
      <w:spacing w:before="0" w:after="0"/>
    </w:pPr>
  </w:style>
  <w:style w:type="paragraph" w:customStyle="1" w:styleId="BodyTextBold">
    <w:name w:val="Body Text Bold"/>
    <w:basedOn w:val="BodyText"/>
    <w:qFormat/>
    <w:rsid w:val="00B30B03"/>
    <w:rPr>
      <w:b/>
    </w:rPr>
  </w:style>
  <w:style w:type="character" w:styleId="Hyperlink">
    <w:name w:val="Hyperlink"/>
    <w:basedOn w:val="DefaultParagraphFont"/>
    <w:uiPriority w:val="99"/>
    <w:unhideWhenUsed/>
    <w:rsid w:val="002E6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4876</Characters>
  <Application>Microsoft Office Word</Application>
  <DocSecurity>0</DocSecurity>
  <Lines>93</Lines>
  <Paragraphs>50</Paragraphs>
  <ScaleCrop>false</ScaleCrop>
  <Company>Author-it Software Corporation Ltd.</Company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MEM48003 Monitor nonferrous melting and casting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