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43A" w:rsidP="000F14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MEM48001 Test the mechanical properties of materials</w:t>
      </w:r>
      <w:r>
        <w:fldChar w:fldCharType="end"/>
      </w:r>
    </w:p>
    <w:p w:rsidR="000F143A" w:rsidP="000F143A">
      <w:pPr>
        <w:pStyle w:val="Version"/>
        <w:sectPr w:rsidSect="006B3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620" w:rsidP="006B3620">
      <w:pPr>
        <w:pStyle w:val="SuperHeading"/>
      </w:pPr>
      <w:r w:rsidRPr="006B3620">
        <w:t>Assessment Requirements for MEM48001 Test the mechanical properties of materials</w:t>
      </w:r>
    </w:p>
    <w:p w:rsidR="00000000" w:rsidRPr="006B3620" w:rsidP="006B3620">
      <w:pPr>
        <w:pStyle w:val="Heading1"/>
      </w:pPr>
      <w:bookmarkStart w:id="1" w:name="O_949747"/>
      <w:bookmarkEnd w:id="1"/>
      <w:r w:rsidRPr="006B3620">
        <w:t>Modification History</w:t>
      </w:r>
    </w:p>
    <w:p w:rsidR="00000000" w:rsidRPr="006B3620" w:rsidP="000F143A">
      <w:pPr>
        <w:pStyle w:val="BodyText"/>
      </w:pPr>
      <w:r w:rsidRPr="006B3620">
        <w:t>Release 1. Supersedes and is equivalent to MSATCM301A Test the mechanical properties of materials.</w:t>
      </w:r>
    </w:p>
    <w:p w:rsidR="00000000" w:rsidRPr="006B3620" w:rsidP="006B3620">
      <w:pPr>
        <w:pStyle w:val="Heading1"/>
      </w:pPr>
      <w:bookmarkStart w:id="2" w:name="O_949750"/>
      <w:bookmarkEnd w:id="2"/>
      <w:r w:rsidRPr="006B3620">
        <w:t>Performance Evidence</w:t>
      </w:r>
    </w:p>
    <w:p w:rsidR="00000000" w:rsidRPr="006B3620" w:rsidP="000F143A">
      <w:pPr>
        <w:pStyle w:val="BodyText"/>
      </w:pPr>
      <w:r w:rsidRPr="006B3620">
        <w:t>Evidence required to demonstrate competence in this unit must be relevant to and satisfy the requirements of the elements and performance criteria and include:</w:t>
      </w:r>
    </w:p>
    <w:p w:rsidR="00000000" w:rsidRPr="006B3620" w:rsidP="006B3620">
      <w:pPr>
        <w:pStyle w:val="ListBullet"/>
      </w:pPr>
      <w:r w:rsidRPr="006B3620">
        <w:t>following work instructions, standard operating procedures (SOPs) and safe work practices</w:t>
      </w:r>
    </w:p>
    <w:p w:rsidR="00000000" w:rsidRPr="006B3620" w:rsidP="006B3620">
      <w:pPr>
        <w:pStyle w:val="ListBullet"/>
      </w:pPr>
      <w:r w:rsidRPr="006B3620">
        <w:t>selec</w:t>
      </w:r>
      <w:r w:rsidRPr="006B3620">
        <w:t>ting and setting up appropriate tests on at least two occasions</w:t>
      </w:r>
    </w:p>
    <w:p w:rsidR="00000000" w:rsidRPr="006B3620" w:rsidP="006B3620">
      <w:pPr>
        <w:pStyle w:val="ListBullet"/>
      </w:pPr>
      <w:r w:rsidRPr="006B3620">
        <w:t>performing the full range of tests and noting relevant data in accordance with the appropriate procedures and standards</w:t>
      </w:r>
    </w:p>
    <w:p w:rsidR="00000000" w:rsidRPr="006B3620" w:rsidP="006B3620">
      <w:pPr>
        <w:pStyle w:val="ListBullet"/>
      </w:pPr>
      <w:r w:rsidRPr="006B3620">
        <w:t>calculating and determining properties of materials in accordance with r</w:t>
      </w:r>
      <w:r w:rsidRPr="006B3620">
        <w:t>equirements</w:t>
      </w:r>
    </w:p>
    <w:p w:rsidR="00000000" w:rsidRPr="006B3620" w:rsidP="006B3620">
      <w:pPr>
        <w:pStyle w:val="ListBullet"/>
      </w:pPr>
      <w:r w:rsidRPr="006B3620">
        <w:t>interpreting results and drawing relevant conclusions on at least two occasions</w:t>
      </w:r>
    </w:p>
    <w:p w:rsidR="00000000" w:rsidRPr="006B3620" w:rsidP="006B3620">
      <w:pPr>
        <w:pStyle w:val="ListBullet"/>
      </w:pPr>
      <w:r w:rsidRPr="006B3620">
        <w:t>identifying and preparing reports to meet requirements</w:t>
      </w:r>
    </w:p>
    <w:p w:rsidR="00000000" w:rsidRPr="006B3620" w:rsidP="006B3620">
      <w:pPr>
        <w:pStyle w:val="ListBullet"/>
      </w:pPr>
      <w:r w:rsidRPr="006B3620">
        <w:t>circulating and filing completed report in accordance with procedures.</w:t>
      </w:r>
    </w:p>
    <w:p w:rsidR="00000000" w:rsidRPr="000F143A" w:rsidP="000F143A">
      <w:pPr>
        <w:pStyle w:val="BodyText"/>
        <w:rPr>
          <w:i/>
        </w:rPr>
      </w:pPr>
      <w:r w:rsidRPr="000F143A">
        <w:rPr>
          <w:rStyle w:val="Emphasis"/>
        </w:rPr>
        <w:t xml:space="preserve">Note: Where a volume and/or frequency </w:t>
      </w:r>
      <w:r w:rsidRPr="000F143A">
        <w:rPr>
          <w:rStyle w:val="Emphasis"/>
        </w:rPr>
        <w:t>is not specified, demonstration must be provided at least once.</w:t>
      </w:r>
    </w:p>
    <w:p w:rsidR="00000000" w:rsidRPr="006B3620" w:rsidP="006B3620">
      <w:pPr>
        <w:pStyle w:val="Heading1"/>
      </w:pPr>
      <w:bookmarkStart w:id="3" w:name="O_949749"/>
      <w:bookmarkEnd w:id="3"/>
      <w:r w:rsidRPr="006B3620">
        <w:t>Knowledge Evidence</w:t>
      </w:r>
    </w:p>
    <w:p w:rsidR="00000000" w:rsidRPr="006B3620" w:rsidP="000F143A">
      <w:pPr>
        <w:pStyle w:val="BodyText"/>
      </w:pPr>
      <w:r w:rsidRPr="006B3620">
        <w:t>Evidence required to demonstrate the required knowledge for this unit must be relevant to and satisfy the requirements of the elements and performance crite</w:t>
      </w:r>
      <w:r w:rsidRPr="006B3620">
        <w:t>ria and include knowledge of:</w:t>
      </w:r>
    </w:p>
    <w:p w:rsidR="00000000" w:rsidRPr="006B3620" w:rsidP="006B3620">
      <w:pPr>
        <w:pStyle w:val="ListBullet"/>
      </w:pPr>
      <w:r w:rsidRPr="006B3620">
        <w:t>safe work practices and procedures and use of personal protective equipment (PPE)</w:t>
      </w:r>
    </w:p>
    <w:p w:rsidR="00000000" w:rsidRPr="006B3620" w:rsidP="006B3620">
      <w:pPr>
        <w:pStyle w:val="ListBullet"/>
      </w:pPr>
      <w:r w:rsidRPr="006B3620">
        <w:t>standards including:</w:t>
      </w:r>
    </w:p>
    <w:p w:rsidR="00000000" w:rsidRPr="006B3620" w:rsidP="006B3620">
      <w:pPr>
        <w:pStyle w:val="ListBullet2"/>
      </w:pPr>
      <w:r w:rsidRPr="006B3620">
        <w:t>needs for standards</w:t>
      </w:r>
    </w:p>
    <w:p w:rsidR="00000000" w:rsidRPr="006B3620" w:rsidP="006B3620">
      <w:pPr>
        <w:pStyle w:val="ListBullet2"/>
      </w:pPr>
      <w:r w:rsidRPr="006B3620">
        <w:t>standards organisations</w:t>
      </w:r>
    </w:p>
    <w:p w:rsidR="00000000" w:rsidRPr="006B3620" w:rsidP="006B3620">
      <w:pPr>
        <w:pStyle w:val="ListBullet2"/>
      </w:pPr>
      <w:r w:rsidRPr="006B3620">
        <w:t>structure and operations of Standards Australia (SA)</w:t>
      </w:r>
    </w:p>
    <w:p w:rsidR="00000000" w:rsidRPr="006B3620" w:rsidP="006B3620">
      <w:pPr>
        <w:pStyle w:val="ListBullet"/>
      </w:pPr>
      <w:r w:rsidRPr="006B3620">
        <w:t>role of National Association of Testing Authorities (NATA) including in relation to:</w:t>
      </w:r>
    </w:p>
    <w:p w:rsidR="00000000" w:rsidRPr="006B3620" w:rsidP="006B3620">
      <w:pPr>
        <w:pStyle w:val="ListBullet2"/>
      </w:pPr>
      <w:r w:rsidRPr="006B3620">
        <w:t>tensile testing</w:t>
      </w:r>
    </w:p>
    <w:p w:rsidR="00000000" w:rsidRPr="006B3620" w:rsidP="006B3620">
      <w:pPr>
        <w:pStyle w:val="ListBullet2"/>
      </w:pPr>
      <w:r w:rsidRPr="006B3620">
        <w:t xml:space="preserve">methods for tensile testing </w:t>
      </w:r>
    </w:p>
    <w:p w:rsidR="00000000" w:rsidRPr="006B3620" w:rsidP="006B3620">
      <w:pPr>
        <w:pStyle w:val="ListBullet2"/>
      </w:pPr>
      <w:r w:rsidRPr="006B3620">
        <w:t>determination of tensile properties</w:t>
      </w:r>
    </w:p>
    <w:p w:rsidR="00000000" w:rsidRPr="006B3620" w:rsidP="006B3620">
      <w:pPr>
        <w:pStyle w:val="ListBullet"/>
      </w:pPr>
      <w:r w:rsidRPr="006B3620">
        <w:t>types of materials</w:t>
      </w:r>
    </w:p>
    <w:p w:rsidR="00000000" w:rsidRPr="006B3620" w:rsidP="006B3620">
      <w:pPr>
        <w:pStyle w:val="ListBullet"/>
      </w:pPr>
      <w:r w:rsidRPr="006B3620">
        <w:t>mechanical properties of materials</w:t>
      </w:r>
    </w:p>
    <w:p w:rsidR="00000000" w:rsidRPr="006B3620" w:rsidP="006B3620">
      <w:pPr>
        <w:pStyle w:val="ListBullet"/>
      </w:pPr>
      <w:r w:rsidRPr="006B3620">
        <w:t>general impact testing including:</w:t>
      </w:r>
    </w:p>
    <w:p w:rsidR="00000000" w:rsidRPr="006B3620" w:rsidP="006B3620">
      <w:pPr>
        <w:pStyle w:val="ListBullet2"/>
      </w:pPr>
      <w:r w:rsidRPr="006B3620">
        <w:t>factors affecting impact properties of materials</w:t>
      </w:r>
    </w:p>
    <w:p w:rsidR="00000000" w:rsidRPr="006B3620" w:rsidP="006B3620">
      <w:pPr>
        <w:pStyle w:val="ListBullet2"/>
      </w:pPr>
      <w:r w:rsidRPr="006B3620">
        <w:t>impact testing (AS 1544) or equivalent international standard</w:t>
      </w:r>
    </w:p>
    <w:p w:rsidR="00000000" w:rsidRPr="006B3620" w:rsidP="006B3620">
      <w:pPr>
        <w:pStyle w:val="ListBullet2"/>
      </w:pPr>
      <w:r w:rsidRPr="006B3620">
        <w:t>drop-weight tear test (AS 1330) or equivalent international standard</w:t>
      </w:r>
    </w:p>
    <w:p w:rsidR="00000000" w:rsidRPr="006B3620" w:rsidP="006B3620">
      <w:pPr>
        <w:pStyle w:val="ListBullet"/>
      </w:pPr>
      <w:r w:rsidRPr="006B3620">
        <w:t>hardness testing including:</w:t>
      </w:r>
    </w:p>
    <w:p w:rsidR="00000000" w:rsidRPr="006B3620" w:rsidP="006B3620">
      <w:pPr>
        <w:pStyle w:val="ListBullet2"/>
      </w:pPr>
      <w:r w:rsidRPr="006B3620">
        <w:t xml:space="preserve">Vickers hardness testing (AS 1817) Part 1 or </w:t>
      </w:r>
      <w:r w:rsidRPr="006B3620">
        <w:t>equivalent international standard</w:t>
      </w:r>
    </w:p>
    <w:p w:rsidR="00000000" w:rsidRPr="006B3620" w:rsidP="006B3620">
      <w:pPr>
        <w:pStyle w:val="ListBullet2"/>
      </w:pPr>
      <w:r w:rsidRPr="006B3620">
        <w:t>Brinell hardness testing (AS 1816) Part 1 or equivalent international standard</w:t>
      </w:r>
    </w:p>
    <w:p w:rsidR="00000000" w:rsidRPr="006B3620" w:rsidP="006B3620">
      <w:pPr>
        <w:pStyle w:val="ListBullet2"/>
      </w:pPr>
      <w:r w:rsidRPr="006B3620">
        <w:t>Rockwell hardness testing (AS 1815) Part 1 or equivalent international standard</w:t>
      </w:r>
    </w:p>
    <w:p w:rsidR="00000000" w:rsidRPr="006B3620" w:rsidP="006B3620">
      <w:pPr>
        <w:pStyle w:val="ListBullet"/>
      </w:pPr>
      <w:r w:rsidRPr="006B3620">
        <w:t>fatigue and flex testing including:</w:t>
      </w:r>
    </w:p>
    <w:p w:rsidR="00000000" w:rsidRPr="006B3620" w:rsidP="006B3620">
      <w:pPr>
        <w:pStyle w:val="ListBullet2"/>
      </w:pPr>
      <w:r w:rsidRPr="006B3620">
        <w:t>factors affecting the fatigue and flex properties of materials</w:t>
      </w:r>
    </w:p>
    <w:p w:rsidR="00000000" w:rsidRPr="006B3620" w:rsidP="006B3620">
      <w:pPr>
        <w:pStyle w:val="ListBullet2"/>
      </w:pPr>
      <w:r w:rsidRPr="006B3620">
        <w:t>fatigue testing procedures</w:t>
      </w:r>
    </w:p>
    <w:p w:rsidR="00000000" w:rsidRPr="006B3620" w:rsidP="006B3620">
      <w:pPr>
        <w:pStyle w:val="ListBullet2"/>
      </w:pPr>
      <w:r w:rsidRPr="006B3620">
        <w:t>presentation of fatigue properties</w:t>
      </w:r>
    </w:p>
    <w:p w:rsidR="00000000" w:rsidRPr="006B3620" w:rsidP="006B3620">
      <w:pPr>
        <w:pStyle w:val="ListBullet"/>
      </w:pPr>
      <w:r w:rsidRPr="006B3620">
        <w:t>creep testing including:</w:t>
      </w:r>
    </w:p>
    <w:p w:rsidR="00000000" w:rsidRPr="006B3620" w:rsidP="006B3620">
      <w:pPr>
        <w:pStyle w:val="ListBullet"/>
      </w:pPr>
      <w:r w:rsidRPr="006B3620">
        <w:t>factors affecting creep behaviour of materials</w:t>
      </w:r>
    </w:p>
    <w:p w:rsidR="00000000" w:rsidRPr="006B3620" w:rsidP="006B3620">
      <w:pPr>
        <w:pStyle w:val="ListBullet"/>
      </w:pPr>
      <w:r w:rsidRPr="006B3620">
        <w:t>creep testing procedures</w:t>
      </w:r>
    </w:p>
    <w:p w:rsidR="00000000" w:rsidRPr="006B3620" w:rsidP="006B3620">
      <w:pPr>
        <w:pStyle w:val="ListBullet2"/>
      </w:pPr>
      <w:r w:rsidRPr="006B3620">
        <w:t>stress-rupture testing</w:t>
      </w:r>
    </w:p>
    <w:p w:rsidR="00000000" w:rsidRPr="006B3620" w:rsidP="006B3620">
      <w:pPr>
        <w:pStyle w:val="ListBullet"/>
      </w:pPr>
      <w:r w:rsidRPr="006B3620">
        <w:t>presenta</w:t>
      </w:r>
      <w:r w:rsidRPr="006B3620">
        <w:t>tion of creep properties.</w:t>
      </w:r>
    </w:p>
    <w:p w:rsidR="00000000" w:rsidRPr="006B3620" w:rsidP="006B3620">
      <w:pPr>
        <w:pStyle w:val="AllowPageBreak"/>
      </w:pPr>
    </w:p>
    <w:p w:rsidR="00000000" w:rsidRPr="006B3620" w:rsidP="006B3620">
      <w:pPr>
        <w:pStyle w:val="Heading1"/>
      </w:pPr>
      <w:bookmarkStart w:id="4" w:name="O_949748"/>
      <w:bookmarkEnd w:id="4"/>
      <w:r w:rsidRPr="006B3620">
        <w:t>Assessment Conditions</w:t>
      </w:r>
    </w:p>
    <w:p w:rsidR="00000000" w:rsidRPr="006B3620" w:rsidP="006B3620">
      <w:pPr>
        <w:pStyle w:val="ListBullet"/>
      </w:pPr>
      <w:r w:rsidRPr="006B3620">
        <w:t>Assessors must:</w:t>
      </w:r>
    </w:p>
    <w:p w:rsidR="00000000" w:rsidRPr="006B3620" w:rsidP="006B3620">
      <w:pPr>
        <w:pStyle w:val="ListBullet2"/>
      </w:pPr>
      <w:r w:rsidRPr="006B3620">
        <w:t>have vocational competency in testing the mechanical properties of materials at least to the level being assessed with relevant industry knowledge and experience</w:t>
      </w:r>
    </w:p>
    <w:p w:rsidR="00000000" w:rsidRPr="006B3620" w:rsidP="006B3620">
      <w:pPr>
        <w:pStyle w:val="ListBullet2"/>
      </w:pPr>
      <w:r w:rsidRPr="006B3620">
        <w:t xml:space="preserve">satisfy the assessor requirements in the </w:t>
      </w:r>
      <w:r w:rsidRPr="006B3620">
        <w:rPr>
          <w:rStyle w:val="Emphasis"/>
        </w:rPr>
        <w:t xml:space="preserve">Standards for Registered Training Organisations 2015 </w:t>
      </w:r>
      <w:r w:rsidRPr="006B3620">
        <w:t>or its replacement</w:t>
      </w:r>
      <w:r w:rsidRPr="006B3620">
        <w:rPr>
          <w:rStyle w:val="Emphasis"/>
        </w:rPr>
        <w:t xml:space="preserve"> </w:t>
      </w:r>
      <w:r w:rsidRPr="006B3620">
        <w:t xml:space="preserve">and comply with the </w:t>
      </w:r>
      <w:r w:rsidRPr="006B3620">
        <w:rPr>
          <w:rStyle w:val="Emphasis"/>
        </w:rPr>
        <w:t xml:space="preserve">National Vocational Education and Training Regulator Act 2011, </w:t>
      </w:r>
      <w:r w:rsidRPr="006B3620">
        <w:t>its replacement</w:t>
      </w:r>
      <w:r w:rsidRPr="006B3620">
        <w:rPr>
          <w:rStyle w:val="Emphasis"/>
        </w:rPr>
        <w:t xml:space="preserve"> </w:t>
      </w:r>
      <w:r w:rsidRPr="006B3620">
        <w:t>or equivalent legislation covering VET regul</w:t>
      </w:r>
      <w:r w:rsidRPr="006B3620">
        <w:t>ation in a non-referring state/territory as the case requires.</w:t>
      </w:r>
    </w:p>
    <w:p w:rsidR="00000000" w:rsidRPr="006B3620" w:rsidP="006B3620">
      <w:pPr>
        <w:pStyle w:val="ListBullet"/>
      </w:pPr>
      <w:r w:rsidRPr="006B3620">
        <w:t>Where possible, assessment must occur in operational workplace situations. Where this is not possible or where personal safety or environmental damage are limiting factors, assessment must occ</w:t>
      </w:r>
      <w:r w:rsidRPr="006B3620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6B3620">
        <w:t>role environment skills.</w:t>
      </w:r>
    </w:p>
    <w:p w:rsidR="00000000" w:rsidRPr="006B3620" w:rsidP="006B3620">
      <w:pPr>
        <w:pStyle w:val="ListBullet"/>
      </w:pPr>
      <w:r w:rsidRPr="006B3620">
        <w:t>Conditions for assessment must include access to all tools, equipment, materials and documentation required including relevant workplace procedures, product and manufacturing specifications.</w:t>
      </w:r>
    </w:p>
    <w:p w:rsidR="00000000" w:rsidRPr="006B3620" w:rsidP="006B3620">
      <w:pPr>
        <w:pStyle w:val="ListBullet"/>
      </w:pPr>
      <w:r w:rsidRPr="006B3620">
        <w:t>Assessment processes and techniques must</w:t>
      </w:r>
      <w:r w:rsidRPr="006B3620">
        <w:t xml:space="preserve"> be appropriate to the language, literacy and numeracy requirements of the work being performed and the needs of the candidate.</w:t>
      </w:r>
    </w:p>
    <w:p w:rsidR="00000000" w:rsidRPr="006B3620" w:rsidP="006B3620">
      <w:pPr>
        <w:pStyle w:val="AllowPageBreak"/>
      </w:pPr>
    </w:p>
    <w:p w:rsidR="00000000" w:rsidRPr="006B3620" w:rsidP="006B3620">
      <w:pPr>
        <w:pStyle w:val="Heading1"/>
      </w:pPr>
      <w:bookmarkStart w:id="5" w:name="O_949746"/>
      <w:bookmarkEnd w:id="5"/>
      <w:r w:rsidRPr="006B3620">
        <w:t>Links</w:t>
      </w:r>
    </w:p>
    <w:p w:rsidR="00000000" w:rsidRPr="006B3620" w:rsidP="000F143A">
      <w:pPr>
        <w:pStyle w:val="BodyText"/>
      </w:pPr>
      <w:r w:rsidRPr="006B36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72D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B3620" w:rsidP="006B3620"/>
    <w:sectPr w:rsidSect="006B36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20" w:rsidRPr="000F143A" w:rsidP="000F14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3A" w:rsidP="006B3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143A" w:rsidP="006B3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143A" w:rsidP="006B36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620" w:rsidRPr="000F143A" w:rsidP="000F14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43A" w:rsidRPr="002D2AF8" w:rsidP="006B3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MEM48001 Test the mechanical properties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F143A" w:rsidP="006B36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EF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646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40E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620"/>
  </w:style>
  <w:style w:type="character" w:customStyle="1" w:styleId="Heading1Char">
    <w:name w:val="Heading 1 Char"/>
    <w:basedOn w:val="DefaultParagraphFont"/>
    <w:link w:val="Heading1"/>
    <w:rsid w:val="006B3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6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6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6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36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3620"/>
    <w:rPr>
      <w:i/>
    </w:rPr>
  </w:style>
  <w:style w:type="paragraph" w:customStyle="1" w:styleId="SuperHeading">
    <w:name w:val="SuperHeading"/>
    <w:basedOn w:val="Normal"/>
    <w:rsid w:val="006B36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6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6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6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6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3620"/>
    <w:rPr>
      <w:b/>
      <w:spacing w:val="0"/>
    </w:rPr>
  </w:style>
  <w:style w:type="paragraph" w:customStyle="1" w:styleId="SuperTitle">
    <w:name w:val="SuperTitle"/>
    <w:basedOn w:val="Title"/>
    <w:rsid w:val="006B3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6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6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3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620"/>
  </w:style>
  <w:style w:type="paragraph" w:styleId="TableofFigures">
    <w:name w:val="table of figures"/>
    <w:basedOn w:val="Normal"/>
    <w:next w:val="Normal"/>
    <w:semiHidden/>
    <w:rsid w:val="006B3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6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620"/>
    <w:rPr>
      <w:rFonts w:ascii="Wingdings" w:hAnsi="Wingdings"/>
    </w:rPr>
  </w:style>
  <w:style w:type="paragraph" w:customStyle="1" w:styleId="TableHeading">
    <w:name w:val="Table Heading"/>
    <w:basedOn w:val="HeadingBase"/>
    <w:rsid w:val="006B36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620"/>
    <w:rPr>
      <w:color w:val="0033CC"/>
      <w:u w:val="none"/>
    </w:rPr>
  </w:style>
  <w:style w:type="paragraph" w:customStyle="1" w:styleId="BodyTextRight">
    <w:name w:val="Body Text Right"/>
    <w:basedOn w:val="BodyText"/>
    <w:rsid w:val="006B3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6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6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620"/>
    <w:rPr>
      <w:sz w:val="32"/>
    </w:rPr>
  </w:style>
  <w:style w:type="paragraph" w:customStyle="1" w:styleId="HeadingProcedure">
    <w:name w:val="Heading Procedure"/>
    <w:basedOn w:val="HeadingBase"/>
    <w:next w:val="Normal"/>
    <w:rsid w:val="006B3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620"/>
    <w:pPr>
      <w:spacing w:before="60" w:after="60"/>
    </w:pPr>
  </w:style>
  <w:style w:type="paragraph" w:styleId="ListContinue">
    <w:name w:val="List Continue"/>
    <w:basedOn w:val="List"/>
    <w:rsid w:val="006B3620"/>
    <w:pPr>
      <w:ind w:firstLine="0"/>
    </w:pPr>
  </w:style>
  <w:style w:type="paragraph" w:customStyle="1" w:styleId="ListNote">
    <w:name w:val="List Note"/>
    <w:basedOn w:val="List"/>
    <w:rsid w:val="006B3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620"/>
    <w:rPr>
      <w:rFonts w:ascii="Courier New" w:hAnsi="Courier New"/>
    </w:rPr>
  </w:style>
  <w:style w:type="paragraph" w:customStyle="1" w:styleId="NoteBullet">
    <w:name w:val="Note Bullet"/>
    <w:basedOn w:val="Note"/>
    <w:rsid w:val="006B3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6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6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620"/>
    <w:rPr>
      <w:b/>
      <w:smallCaps/>
    </w:rPr>
  </w:style>
  <w:style w:type="paragraph" w:customStyle="1" w:styleId="TableListNumber">
    <w:name w:val="Table List Number"/>
    <w:basedOn w:val="ListNumber"/>
    <w:rsid w:val="006B3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620"/>
    <w:pPr>
      <w:numPr>
        <w:numId w:val="9"/>
      </w:numPr>
    </w:pPr>
  </w:style>
  <w:style w:type="paragraph" w:customStyle="1" w:styleId="ListAlpha2">
    <w:name w:val="List Alpha 2"/>
    <w:basedOn w:val="List2"/>
    <w:rsid w:val="006B3620"/>
    <w:pPr>
      <w:numPr>
        <w:numId w:val="8"/>
      </w:numPr>
    </w:pPr>
  </w:style>
  <w:style w:type="paragraph" w:styleId="List2">
    <w:name w:val="List 2"/>
    <w:basedOn w:val="BodyText"/>
    <w:rsid w:val="006B3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6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6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6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620"/>
    <w:pPr>
      <w:numPr>
        <w:numId w:val="4"/>
      </w:numPr>
    </w:pPr>
  </w:style>
  <w:style w:type="paragraph" w:styleId="ListContinue2">
    <w:name w:val="List Continue 2"/>
    <w:basedOn w:val="List2"/>
    <w:rsid w:val="006B3620"/>
    <w:pPr>
      <w:ind w:firstLine="0"/>
    </w:pPr>
  </w:style>
  <w:style w:type="paragraph" w:styleId="ListContinue3">
    <w:name w:val="List Continue 3"/>
    <w:basedOn w:val="List3"/>
    <w:rsid w:val="006B3620"/>
    <w:pPr>
      <w:ind w:left="1021" w:firstLine="0"/>
    </w:pPr>
  </w:style>
  <w:style w:type="paragraph" w:styleId="ListContinue4">
    <w:name w:val="List Continue 4"/>
    <w:basedOn w:val="List4"/>
    <w:rsid w:val="006B3620"/>
    <w:pPr>
      <w:ind w:firstLine="0"/>
    </w:pPr>
  </w:style>
  <w:style w:type="paragraph" w:styleId="ListContinue5">
    <w:name w:val="List Continue 5"/>
    <w:basedOn w:val="List5"/>
    <w:rsid w:val="006B3620"/>
    <w:pPr>
      <w:ind w:firstLine="0"/>
    </w:pPr>
  </w:style>
  <w:style w:type="paragraph" w:styleId="ListNumber3">
    <w:name w:val="List Number 3"/>
    <w:basedOn w:val="List3"/>
    <w:rsid w:val="006B3620"/>
    <w:pPr>
      <w:numPr>
        <w:numId w:val="5"/>
      </w:numPr>
    </w:pPr>
  </w:style>
  <w:style w:type="paragraph" w:styleId="ListNumber4">
    <w:name w:val="List Number 4"/>
    <w:basedOn w:val="List4"/>
    <w:rsid w:val="006B3620"/>
    <w:pPr>
      <w:numPr>
        <w:numId w:val="6"/>
      </w:numPr>
    </w:pPr>
  </w:style>
  <w:style w:type="paragraph" w:styleId="ListNumber5">
    <w:name w:val="List Number 5"/>
    <w:basedOn w:val="List5"/>
    <w:rsid w:val="006B3620"/>
    <w:pPr>
      <w:numPr>
        <w:numId w:val="7"/>
      </w:numPr>
    </w:pPr>
  </w:style>
  <w:style w:type="paragraph" w:styleId="BlockText">
    <w:name w:val="Block Text"/>
    <w:basedOn w:val="Normal"/>
    <w:rsid w:val="006B3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620"/>
    <w:rPr>
      <w:sz w:val="16"/>
      <w:vertAlign w:val="superscript"/>
    </w:rPr>
  </w:style>
  <w:style w:type="character" w:customStyle="1" w:styleId="Symbols">
    <w:name w:val="Symbols"/>
    <w:basedOn w:val="DefaultParagraphFont"/>
    <w:rsid w:val="006B3620"/>
    <w:rPr>
      <w:rFonts w:ascii="Symbol" w:hAnsi="Symbol"/>
    </w:rPr>
  </w:style>
  <w:style w:type="character" w:customStyle="1" w:styleId="MenuOptions">
    <w:name w:val="Menu Options"/>
    <w:basedOn w:val="DefaultParagraphFont"/>
    <w:rsid w:val="006B3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620"/>
    <w:rPr>
      <w:b/>
    </w:rPr>
  </w:style>
  <w:style w:type="character" w:customStyle="1" w:styleId="Underlined">
    <w:name w:val="Underlined"/>
    <w:basedOn w:val="DefaultParagraphFont"/>
    <w:rsid w:val="006B3620"/>
    <w:rPr>
      <w:u w:val="single"/>
    </w:rPr>
  </w:style>
  <w:style w:type="paragraph" w:customStyle="1" w:styleId="TableBodyTextRight">
    <w:name w:val="Table Body Text Right"/>
    <w:basedOn w:val="TableBodyText"/>
    <w:rsid w:val="006B3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620"/>
    <w:rPr>
      <w:sz w:val="18"/>
    </w:rPr>
  </w:style>
  <w:style w:type="paragraph" w:customStyle="1" w:styleId="BodySmallRight">
    <w:name w:val="Body Small Right"/>
    <w:basedOn w:val="BodyTextRight"/>
    <w:rsid w:val="006B3620"/>
    <w:rPr>
      <w:sz w:val="18"/>
      <w:szCs w:val="18"/>
    </w:rPr>
  </w:style>
  <w:style w:type="paragraph" w:customStyle="1" w:styleId="MarginEdition">
    <w:name w:val="Margin Edition"/>
    <w:basedOn w:val="MarginNote"/>
    <w:rsid w:val="006B3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620"/>
    <w:rPr>
      <w:sz w:val="2"/>
      <w:szCs w:val="2"/>
    </w:rPr>
  </w:style>
  <w:style w:type="character" w:customStyle="1" w:styleId="Small">
    <w:name w:val="Small"/>
    <w:basedOn w:val="DefaultParagraphFont"/>
    <w:rsid w:val="006B3620"/>
    <w:rPr>
      <w:sz w:val="16"/>
    </w:rPr>
  </w:style>
  <w:style w:type="paragraph" w:customStyle="1" w:styleId="WideTable">
    <w:name w:val="Wide Table"/>
    <w:basedOn w:val="Normal"/>
    <w:rsid w:val="006B3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620"/>
  </w:style>
  <w:style w:type="paragraph" w:styleId="Quote">
    <w:name w:val="Quote"/>
    <w:basedOn w:val="Heading1"/>
    <w:link w:val="QuoteChar"/>
    <w:qFormat/>
    <w:rsid w:val="006B3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620"/>
    <w:pPr>
      <w:pageBreakBefore/>
    </w:pPr>
  </w:style>
  <w:style w:type="paragraph" w:customStyle="1" w:styleId="Border">
    <w:name w:val="Border"/>
    <w:basedOn w:val="Normal"/>
    <w:qFormat/>
    <w:rsid w:val="006B3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6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620"/>
    <w:rPr>
      <w:u w:val="single"/>
    </w:rPr>
  </w:style>
  <w:style w:type="character" w:customStyle="1" w:styleId="BoldandItalics">
    <w:name w:val="Bold and Italics"/>
    <w:qFormat/>
    <w:rsid w:val="006B3620"/>
    <w:rPr>
      <w:b/>
      <w:i/>
      <w:u w:val="none"/>
    </w:rPr>
  </w:style>
  <w:style w:type="paragraph" w:styleId="BalloonText">
    <w:name w:val="Balloon Text"/>
    <w:basedOn w:val="Normal"/>
    <w:link w:val="BalloonTextChar"/>
    <w:rsid w:val="006B3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6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6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6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6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6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620"/>
    <w:pPr>
      <w:spacing w:before="0" w:after="0"/>
    </w:pPr>
  </w:style>
  <w:style w:type="paragraph" w:customStyle="1" w:styleId="BodyTextBold">
    <w:name w:val="Body Text Bold"/>
    <w:basedOn w:val="BodyText"/>
    <w:qFormat/>
    <w:rsid w:val="006B3620"/>
    <w:rPr>
      <w:b/>
    </w:rPr>
  </w:style>
  <w:style w:type="character" w:styleId="Hyperlink">
    <w:name w:val="Hyperlink"/>
    <w:basedOn w:val="DefaultParagraphFont"/>
    <w:uiPriority w:val="99"/>
    <w:unhideWhenUsed/>
    <w:rsid w:val="000F1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3691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MEM48001 Test the mechanical properties of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