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65A1" w:rsidP="00C865A1">
      <w:pPr>
        <w:pStyle w:val="Title"/>
      </w:pPr>
      <w:r>
        <w:fldChar w:fldCharType="begin"/>
      </w:r>
      <w:r>
        <w:instrText xml:space="preserve"> TITLE   \* MERGEFORMAT </w:instrText>
      </w:r>
      <w:r>
        <w:fldChar w:fldCharType="separate"/>
      </w:r>
      <w:r>
        <w:t>MEM31019 Certificate III in Watch and Clock Service and Repair</w:t>
      </w:r>
      <w:r>
        <w:fldChar w:fldCharType="end"/>
      </w:r>
    </w:p>
    <w:p w:rsidR="00C865A1" w:rsidP="00C865A1">
      <w:pPr>
        <w:pStyle w:val="Version"/>
        <w:sectPr w:rsidSect="005F4B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F4B35" w:rsidP="005F4B35">
      <w:pPr>
        <w:pStyle w:val="SuperHeading"/>
      </w:pPr>
      <w:r w:rsidRPr="005F4B35">
        <w:t>MEM31019 Cert</w:t>
      </w:r>
      <w:r w:rsidRPr="005F4B35">
        <w:t>ificate III in Watch and Clock Service and Repair</w:t>
      </w:r>
    </w:p>
    <w:p w:rsidR="00000000" w:rsidRPr="005F4B35" w:rsidP="005F4B35">
      <w:pPr>
        <w:pStyle w:val="Heading1"/>
      </w:pPr>
      <w:bookmarkStart w:id="1" w:name="O_1275038"/>
      <w:bookmarkEnd w:id="1"/>
      <w:r w:rsidRPr="005F4B35">
        <w:t>Modification History</w:t>
      </w:r>
    </w:p>
    <w:p w:rsidR="00000000" w:rsidRPr="005F4B35" w:rsidP="00C865A1">
      <w:pPr>
        <w:pStyle w:val="BodyText"/>
      </w:pPr>
      <w:r w:rsidRPr="005F4B35">
        <w:t>Release 3. Elective units updated. Supersedes and is equivalent to MEM31019 Certificate III in Watch and Clock Service and Repair (Release 2).</w:t>
      </w:r>
    </w:p>
    <w:p w:rsidR="00000000" w:rsidRPr="005F4B35" w:rsidP="00C865A1">
      <w:pPr>
        <w:pStyle w:val="BodyText"/>
      </w:pPr>
      <w:r w:rsidRPr="005F4B35">
        <w:t>Release 2. Mandatory training contract pathway added.</w:t>
      </w:r>
    </w:p>
    <w:p w:rsidR="00000000" w:rsidRPr="005F4B35" w:rsidP="00C865A1">
      <w:pPr>
        <w:pStyle w:val="BodyText"/>
      </w:pPr>
      <w:r w:rsidRPr="005F4B35">
        <w:t>Release 1. Supersedes and is equivalent to MEM31010 Certificate III in Watch and Clock Service and Repair.</w:t>
      </w:r>
    </w:p>
    <w:p w:rsidR="00000000" w:rsidRPr="005F4B35" w:rsidP="005F4B35">
      <w:pPr>
        <w:pStyle w:val="Heading1"/>
      </w:pPr>
      <w:bookmarkStart w:id="2" w:name="O_1275037"/>
      <w:bookmarkEnd w:id="2"/>
      <w:r w:rsidRPr="005F4B35">
        <w:t>Qualification Description</w:t>
      </w:r>
    </w:p>
    <w:p w:rsidR="00000000" w:rsidRPr="005F4B35" w:rsidP="00C865A1">
      <w:pPr>
        <w:pStyle w:val="BodyText"/>
      </w:pPr>
      <w:r w:rsidRPr="005F4B35">
        <w:t>This qualification defines the skills and knowledg</w:t>
      </w:r>
      <w:r w:rsidRPr="005F4B35">
        <w:t>e required of a watch and clock service and repair tradesperson within a variety of watch and clock service related industries, including retail stores, manufacturer service centres and specialist watch and clock service and repair businesses. This also in</w:t>
      </w:r>
      <w:r w:rsidRPr="005F4B35">
        <w:t xml:space="preserve">cludes self-employment. </w:t>
      </w:r>
    </w:p>
    <w:p w:rsidR="00000000" w:rsidRPr="005F4B35" w:rsidP="00C865A1">
      <w:pPr>
        <w:pStyle w:val="BodyText"/>
      </w:pPr>
      <w:r w:rsidRPr="005F4B35">
        <w:t>This qualification has been specifically developed for apprentices in trades related to watch and clock servicing and repair and describes the skills and knowledge required to perform trade work in watch and clock service and repai</w:t>
      </w:r>
      <w:r w:rsidRPr="005F4B35">
        <w:t xml:space="preserve">r. </w:t>
      </w:r>
    </w:p>
    <w:p w:rsidR="00000000" w:rsidRPr="005F4B35" w:rsidP="00C865A1">
      <w:pPr>
        <w:pStyle w:val="BodyText"/>
      </w:pPr>
      <w:r w:rsidRPr="005F4B35">
        <w:t>This qualification must be undertaken through a Training Contract or through formal trade recognition assessment processes.</w:t>
      </w:r>
    </w:p>
    <w:p w:rsidR="00000000" w:rsidRPr="005F4B35" w:rsidP="00C865A1">
      <w:pPr>
        <w:pStyle w:val="BodyText"/>
      </w:pPr>
      <w:r w:rsidRPr="005F4B35">
        <w:t xml:space="preserve">The skills associated with this qualification are intended to apply to a wide range of watch and clock service and repair work, </w:t>
      </w:r>
      <w:r w:rsidRPr="005F4B35">
        <w:t>including undertaking the disassembly, assembly, installation, adjustment, replacement, modification, testing, fault finding, and maintenance and service of watch and clock cases, mechanisms and other relevant components.</w:t>
      </w:r>
    </w:p>
    <w:p w:rsidR="00000000" w:rsidRPr="005F4B35" w:rsidP="00C865A1">
      <w:pPr>
        <w:pStyle w:val="BodyText"/>
      </w:pPr>
      <w:r w:rsidRPr="005F4B35">
        <w:t xml:space="preserve">This qualification is designed to </w:t>
      </w:r>
      <w:r w:rsidRPr="005F4B35">
        <w:t xml:space="preserve">reflect the industry recognised skills profile associated with trade work as a watch and clock service and repair tradesperson. </w:t>
      </w:r>
    </w:p>
    <w:p w:rsidR="00000000" w:rsidRPr="005F4B35" w:rsidP="00C865A1">
      <w:pPr>
        <w:pStyle w:val="BodyText"/>
      </w:pPr>
      <w:r w:rsidRPr="005F4B35">
        <w:t xml:space="preserve">Assessment of some units of competency must, where indicated, include evidence of the candidate’s performance in a functioning </w:t>
      </w:r>
      <w:r w:rsidRPr="005F4B35">
        <w:t>workplace where there is a sufficient range of appropriate tasks and materials to cover the scope of application of those units. All outcomes must reflect the standard of performance inherent in the job.</w:t>
      </w:r>
    </w:p>
    <w:p w:rsidR="00000000" w:rsidRPr="005F4B35" w:rsidP="00C865A1">
      <w:pPr>
        <w:pStyle w:val="BodyText"/>
      </w:pPr>
      <w:r w:rsidRPr="005F4B35">
        <w:t>No licensing, legislative or certification requireme</w:t>
      </w:r>
      <w:r w:rsidRPr="005F4B35">
        <w:t>nts apply to this qualification at the time of publication. However, in some jurisdictions units in this qualification may relate to licensing or regulatory requirements. Local regulations should be checked.</w:t>
      </w:r>
    </w:p>
    <w:p w:rsidR="00000000" w:rsidRPr="005F4B35" w:rsidP="005F4B35">
      <w:pPr>
        <w:pStyle w:val="Heading1"/>
      </w:pPr>
      <w:bookmarkStart w:id="3" w:name="O_1275036"/>
      <w:bookmarkEnd w:id="3"/>
      <w:r w:rsidRPr="005F4B35">
        <w:t>Entry Requirements</w:t>
      </w:r>
    </w:p>
    <w:p w:rsidR="00000000" w:rsidRPr="005F4B35" w:rsidP="00C865A1">
      <w:pPr>
        <w:pStyle w:val="BodyText"/>
      </w:pPr>
      <w:r w:rsidRPr="005F4B35">
        <w:t xml:space="preserve">There are </w:t>
      </w:r>
      <w:r w:rsidRPr="005F4B35">
        <w:t>no entry requirements for this qualification.</w:t>
      </w:r>
    </w:p>
    <w:p w:rsidR="00000000" w:rsidRPr="005F4B35" w:rsidP="005F4B35">
      <w:pPr>
        <w:pStyle w:val="Heading1"/>
      </w:pPr>
      <w:bookmarkStart w:id="4" w:name="O_1275035"/>
      <w:bookmarkEnd w:id="4"/>
      <w:r w:rsidRPr="005F4B35">
        <w:t>Packaging Rules</w:t>
      </w:r>
    </w:p>
    <w:p w:rsidR="00000000" w:rsidRPr="005F4B35" w:rsidP="00C865A1">
      <w:pPr>
        <w:pStyle w:val="BodyText"/>
      </w:pPr>
      <w:r w:rsidRPr="005F4B35">
        <w:t>To be awarded the MEM31019 Certificate III in Watch and Clock Service and Repair, units of competency to the value of 96 points must be achieved, chosen as outlined below:</w:t>
      </w:r>
    </w:p>
    <w:p w:rsidR="00000000" w:rsidRPr="005F4B35" w:rsidP="005F4B35">
      <w:pPr>
        <w:pStyle w:val="ListBullet"/>
      </w:pPr>
      <w:r w:rsidRPr="005F4B35">
        <w:t>co</w:t>
      </w:r>
      <w:r w:rsidRPr="005F4B35">
        <w:t xml:space="preserve">re units of competency listed below (totalling 33 points) </w:t>
      </w:r>
    </w:p>
    <w:p w:rsidR="00000000" w:rsidRPr="005F4B35" w:rsidP="005F4B35">
      <w:pPr>
        <w:pStyle w:val="ListBullet"/>
      </w:pPr>
      <w:r w:rsidRPr="005F4B35">
        <w:t xml:space="preserve">elective units of competency to a minimum value of 40 points from Group A </w:t>
      </w:r>
    </w:p>
    <w:p w:rsidR="00000000" w:rsidRPr="005F4B35" w:rsidP="005F4B35">
      <w:pPr>
        <w:pStyle w:val="ListBullet"/>
      </w:pPr>
      <w:r w:rsidRPr="005F4B35">
        <w:t>elective units of competency to a maximum value of 23 points from Group B to bring the total value to 96 points.</w:t>
      </w:r>
    </w:p>
    <w:p w:rsidR="00000000" w:rsidRPr="005F4B35" w:rsidP="00C865A1">
      <w:pPr>
        <w:pStyle w:val="BodyText"/>
      </w:pPr>
      <w:r w:rsidRPr="005F4B35">
        <w:t xml:space="preserve">Appropriate Group B elective units to the value of 8 points may be chosen from this Training Package, other endorsed Training Packages and accredited courses where those units are available for inclusion at Certificate III. Only select units that would be </w:t>
      </w:r>
      <w:r w:rsidRPr="005F4B35">
        <w:t>suitable for occupational outcomes in a watch and clock service and repair trade environment.</w:t>
      </w:r>
    </w:p>
    <w:p w:rsidR="00000000" w:rsidRPr="005F4B35" w:rsidP="00C865A1">
      <w:pPr>
        <w:pStyle w:val="BodyText"/>
      </w:pPr>
      <w:r w:rsidRPr="005F4B35">
        <w:t>Registered Training Organisations (RTOs) must seek a determination from the industry parties in respect of the allocation of points values for units of competency</w:t>
      </w:r>
      <w:r w:rsidRPr="005F4B35">
        <w:t xml:space="preserve"> drawn from other Training Packages or accredited courses. Determination of points requests are to be submitted to the industry parties through Innovation and Business Skills Australia (IBSA) Manufacturing. Refer to the MEM Companion Volume Implementation </w:t>
      </w:r>
      <w:r w:rsidRPr="005F4B35">
        <w:t>Guide for information on determination of unit points values.</w:t>
      </w:r>
    </w:p>
    <w:p w:rsidR="00000000" w:rsidRPr="005F4B35" w:rsidP="00C865A1">
      <w:pPr>
        <w:pStyle w:val="Heading3"/>
      </w:pPr>
      <w:r w:rsidRPr="005F4B35">
        <w:rPr>
          <w:rStyle w:val="SpecialBold"/>
        </w:rPr>
        <w:t>Prerequisites</w:t>
      </w:r>
    </w:p>
    <w:p w:rsidR="00000000" w:rsidRPr="005F4B35" w:rsidP="00C865A1">
      <w:pPr>
        <w:pStyle w:val="BodyText"/>
      </w:pPr>
      <w:r w:rsidRPr="005F4B35">
        <w:t>Points associated with prerequisites count towards the total. Units with prerequisite requirements are marked with an asterisk (refer to the individual units for details). All pre</w:t>
      </w:r>
      <w:r w:rsidRPr="005F4B35">
        <w:t>requisites are included in the units listed.</w:t>
      </w:r>
    </w:p>
    <w:p w:rsidR="00000000" w:rsidRPr="005F4B35" w:rsidP="00C865A1">
      <w:pPr>
        <w:pStyle w:val="Heading3"/>
      </w:pPr>
      <w:r w:rsidRPr="005F4B35">
        <w:rPr>
          <w:rStyle w:val="SpecialBold"/>
        </w:rPr>
        <w:t>Core units of competency</w:t>
      </w:r>
    </w:p>
    <w:tbl>
      <w:tblPr>
        <w:tblW w:w="9639" w:type="dxa"/>
        <w:tblLayout w:type="fixed"/>
        <w:tblCellMar>
          <w:left w:w="62" w:type="dxa"/>
          <w:right w:w="62" w:type="dxa"/>
        </w:tblCellMar>
        <w:tblLook w:val="0000"/>
      </w:tblPr>
      <w:tblGrid>
        <w:gridCol w:w="1701"/>
        <w:gridCol w:w="6804"/>
        <w:gridCol w:w="567"/>
        <w:gridCol w:w="567"/>
      </w:tblGrid>
      <w:tr w:rsidTr="005F4B35">
        <w:tblPrEx>
          <w:tblW w:w="9639" w:type="dxa"/>
          <w:tblLayout w:type="fixed"/>
          <w:tblCellMar>
            <w:left w:w="62" w:type="dxa"/>
            <w:right w:w="62" w:type="dxa"/>
          </w:tblCellMar>
          <w:tblLook w:val="0000"/>
        </w:tblPrEx>
        <w:trPr>
          <w:tblHeader/>
        </w:trPr>
        <w:tc>
          <w:tcPr>
            <w:tcW w:w="1701" w:type="dxa"/>
            <w:tcBorders>
              <w:top w:val="single" w:sz="4"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RPr="005F4B35" w:rsidP="005F4B35">
            <w:pPr>
              <w:pStyle w:val="BodyText"/>
            </w:pPr>
            <w:r w:rsidRPr="005F4B35">
              <w:rPr>
                <w:rStyle w:val="SpecialBold"/>
              </w:rPr>
              <w:t>Unit code</w:t>
            </w:r>
          </w:p>
        </w:tc>
        <w:tc>
          <w:tcPr>
            <w:tcW w:w="6804"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B35" w:rsidP="005F4B35">
            <w:pPr>
              <w:pStyle w:val="BodyText"/>
            </w:pPr>
            <w:r w:rsidRPr="005F4B35">
              <w:rPr>
                <w:rStyle w:val="SpecialBold"/>
              </w:rPr>
              <w:t>Unit title</w:t>
            </w:r>
          </w:p>
        </w:tc>
        <w:tc>
          <w:tcPr>
            <w:tcW w:w="567"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B35" w:rsidP="005F4B35">
            <w:pPr>
              <w:pStyle w:val="BodyText"/>
            </w:pPr>
            <w:r w:rsidRPr="005F4B35">
              <w:rPr>
                <w:rStyle w:val="SpecialBold"/>
              </w:rPr>
              <w:t>P</w:t>
            </w:r>
          </w:p>
        </w:tc>
        <w:tc>
          <w:tcPr>
            <w:tcW w:w="567" w:type="dxa"/>
            <w:tcBorders>
              <w:top w:val="single" w:sz="4"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5F4B35">
            <w:pPr>
              <w:pStyle w:val="BodyText"/>
              <w:rPr>
                <w:lang w:val="en-NZ"/>
              </w:rPr>
            </w:pPr>
            <w:r w:rsidRPr="005F4B35">
              <w:rPr>
                <w:rStyle w:val="SpecialBold"/>
              </w:rPr>
              <w:t>Prereq</w:t>
            </w:r>
          </w:p>
        </w:tc>
      </w:tr>
      <w:tr w:rsidTr="005F4B35">
        <w:tblPrEx>
          <w:tblW w:w="9639" w:type="dxa"/>
          <w:tblLayout w:type="fixed"/>
          <w:tblCellMar>
            <w:left w:w="62" w:type="dxa"/>
            <w:right w:w="62" w:type="dxa"/>
          </w:tblCellMar>
          <w:tblLook w:val="0000"/>
        </w:tblPrEx>
        <w:tc>
          <w:tcPr>
            <w:tcW w:w="1701"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MEM09002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Interpret technical drawing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4</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448"/>
        </w:trPr>
        <w:tc>
          <w:tcPr>
            <w:tcW w:w="1701"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MEM11011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Undertake manual handling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2</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448"/>
        </w:trPr>
        <w:tc>
          <w:tcPr>
            <w:tcW w:w="1701"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MEM12023</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Perform engineering measurements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5</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448"/>
        </w:trPr>
        <w:tc>
          <w:tcPr>
            <w:tcW w:w="1701"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MEM12024</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Perform computations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3</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448"/>
        </w:trPr>
        <w:tc>
          <w:tcPr>
            <w:tcW w:w="1701"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MEM13015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Work safely and effectively in manufacturing and engineering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2</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5F4B35">
            <w:pPr>
              <w:pStyle w:val="BodyText"/>
              <w:rPr>
                <w:lang w:val="en-NZ"/>
              </w:rPr>
            </w:pPr>
          </w:p>
        </w:tc>
      </w:tr>
      <w:tr w:rsidTr="005F4B35">
        <w:tblPrEx>
          <w:tblW w:w="9639" w:type="dxa"/>
          <w:tblLayout w:type="fixed"/>
          <w:tblCellMar>
            <w:left w:w="62" w:type="dxa"/>
            <w:right w:w="62" w:type="dxa"/>
          </w:tblCellMar>
          <w:tblLook w:val="0000"/>
        </w:tblPrEx>
        <w:trPr>
          <w:trHeight w:val="448"/>
        </w:trPr>
        <w:tc>
          <w:tcPr>
            <w:tcW w:w="1701"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MEM14006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Plan work activities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4</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448"/>
        </w:trPr>
        <w:tc>
          <w:tcPr>
            <w:tcW w:w="1701"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MEM16006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Organise and communicate information</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2</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448"/>
        </w:trPr>
        <w:tc>
          <w:tcPr>
            <w:tcW w:w="1701"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MEM16008</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Interact with computing technology</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2</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448"/>
        </w:trPr>
        <w:tc>
          <w:tcPr>
            <w:tcW w:w="1701"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MEM17003</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Assist in the provision of on-the-job training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2</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448"/>
        </w:trPr>
        <w:tc>
          <w:tcPr>
            <w:tcW w:w="1701"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MEM18001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Use hand tools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2</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448"/>
        </w:trPr>
        <w:tc>
          <w:tcPr>
            <w:tcW w:w="1701" w:type="dxa"/>
            <w:tcBorders>
              <w:top w:val="single" w:sz="6" w:space="0" w:color="auto"/>
              <w:left w:val="single" w:sz="4"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MEM18002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Use power tools/hand held operations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2</w:t>
            </w:r>
          </w:p>
        </w:tc>
        <w:tc>
          <w:tcPr>
            <w:tcW w:w="567" w:type="dxa"/>
            <w:tcBorders>
              <w:top w:val="single" w:sz="6" w:space="0" w:color="auto"/>
              <w:left w:val="single" w:sz="6" w:space="0" w:color="auto"/>
              <w:bottom w:val="single" w:sz="6" w:space="0" w:color="auto"/>
              <w:right w:val="single" w:sz="4"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448"/>
        </w:trPr>
        <w:tc>
          <w:tcPr>
            <w:tcW w:w="1701" w:type="dxa"/>
            <w:tcBorders>
              <w:top w:val="single" w:sz="6" w:space="0" w:color="auto"/>
              <w:left w:val="single" w:sz="4" w:space="0" w:color="auto"/>
              <w:bottom w:val="single" w:sz="4"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MSMENV272</w:t>
            </w:r>
          </w:p>
        </w:tc>
        <w:tc>
          <w:tcPr>
            <w:tcW w:w="6804"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Participate in environmentally sustainable work practices</w:t>
            </w:r>
          </w:p>
        </w:tc>
        <w:tc>
          <w:tcPr>
            <w:tcW w:w="567"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3</w:t>
            </w:r>
          </w:p>
        </w:tc>
        <w:tc>
          <w:tcPr>
            <w:tcW w:w="567" w:type="dxa"/>
            <w:tcBorders>
              <w:top w:val="single" w:sz="6" w:space="0" w:color="auto"/>
              <w:left w:val="single" w:sz="6" w:space="0" w:color="auto"/>
              <w:bottom w:val="single" w:sz="4" w:space="0" w:color="auto"/>
              <w:right w:val="single" w:sz="4" w:space="0" w:color="auto"/>
            </w:tcBorders>
            <w:tcMar>
              <w:top w:w="0" w:type="dxa"/>
              <w:left w:w="62" w:type="dxa"/>
              <w:bottom w:w="0" w:type="dxa"/>
              <w:right w:w="62" w:type="dxa"/>
            </w:tcMar>
          </w:tcPr>
          <w:p w:rsidR="00000000" w:rsidRPr="005F4B35" w:rsidP="005F4B35">
            <w:pPr>
              <w:pStyle w:val="BodyText"/>
            </w:pPr>
          </w:p>
        </w:tc>
      </w:tr>
    </w:tbl>
    <w:p w:rsidR="00000000" w:rsidRPr="005F4B35" w:rsidP="005F4B35">
      <w:pPr>
        <w:pStyle w:val="BodyText"/>
      </w:pPr>
    </w:p>
    <w:p w:rsidR="00000000" w:rsidRPr="005F4B35" w:rsidP="00C865A1">
      <w:pPr>
        <w:pStyle w:val="Heading3"/>
      </w:pPr>
      <w:r w:rsidRPr="005F4B35">
        <w:rPr>
          <w:rStyle w:val="SpecialBold"/>
        </w:rPr>
        <w:t>Elective units of competency</w:t>
      </w:r>
    </w:p>
    <w:p w:rsidR="00000000" w:rsidRPr="005F4B35" w:rsidP="00C865A1">
      <w:pPr>
        <w:pStyle w:val="Heading3"/>
      </w:pPr>
      <w:r w:rsidRPr="005F4B35">
        <w:rPr>
          <w:rStyle w:val="SpecialBold"/>
        </w:rPr>
        <w:t>Group A</w:t>
      </w:r>
    </w:p>
    <w:tbl>
      <w:tblPr>
        <w:tblW w:w="9639" w:type="dxa"/>
        <w:tblLayout w:type="fixed"/>
        <w:tblCellMar>
          <w:left w:w="62" w:type="dxa"/>
          <w:right w:w="62" w:type="dxa"/>
        </w:tblCellMar>
        <w:tblLook w:val="0000"/>
      </w:tblPr>
      <w:tblGrid>
        <w:gridCol w:w="1701"/>
        <w:gridCol w:w="6804"/>
        <w:gridCol w:w="567"/>
        <w:gridCol w:w="567"/>
      </w:tblGrid>
      <w:tr w:rsidTr="005F4B35">
        <w:tblPrEx>
          <w:tblW w:w="9639" w:type="dxa"/>
          <w:tblLayout w:type="fixed"/>
          <w:tblCellMar>
            <w:left w:w="62" w:type="dxa"/>
            <w:right w:w="62" w:type="dxa"/>
          </w:tblCellMar>
          <w:tblLook w:val="0000"/>
        </w:tblPrEx>
        <w:trPr>
          <w:trHeight w:val="448"/>
          <w:tblHeader/>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B35" w:rsidP="005F4B35">
            <w:pPr>
              <w:pStyle w:val="BodyText"/>
            </w:pPr>
            <w:r w:rsidRPr="005F4B35">
              <w:rPr>
                <w:rStyle w:val="SpecialBold"/>
              </w:rPr>
              <w:t>Unit code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B35" w:rsidP="005F4B35">
            <w:pPr>
              <w:pStyle w:val="BodyText"/>
            </w:pPr>
            <w:r w:rsidRPr="005F4B35">
              <w:rPr>
                <w:rStyle w:val="SpecialBold"/>
              </w:rPr>
              <w:t>Unit title</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B35" w:rsidP="005F4B35">
            <w:pPr>
              <w:pStyle w:val="BodyText"/>
            </w:pPr>
            <w:r w:rsidRPr="005F4B35">
              <w:rPr>
                <w:rStyle w:val="SpecialBold"/>
              </w:rPr>
              <w:t>P</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rPr>
                <w:rStyle w:val="SpecialBold"/>
              </w:rPr>
              <w:t>Prereq</w:t>
            </w:r>
          </w:p>
        </w:tc>
      </w:tr>
      <w:tr w:rsidTr="005F4B35">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MEM05001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F4B35">
            <w:pPr>
              <w:pStyle w:val="BodyText"/>
              <w:rPr>
                <w:lang w:val="en-NZ"/>
              </w:rPr>
            </w:pPr>
            <w:r w:rsidRPr="005F4B35">
              <w:t>Perform manual soldering/desoldering - electrical/electronic components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MEM06007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F4B35">
            <w:pPr>
              <w:pStyle w:val="BodyText"/>
              <w:rPr>
                <w:lang w:val="en-NZ"/>
              </w:rPr>
            </w:pPr>
            <w:r w:rsidRPr="005F4B35">
              <w:t>Perform basic incidental heat/quenching, tempering and annealing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MEM07005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F4B35">
            <w:pPr>
              <w:pStyle w:val="BodyText"/>
              <w:rPr>
                <w:lang w:val="en-NZ"/>
              </w:rPr>
            </w:pPr>
            <w:r w:rsidRPr="005F4B35">
              <w:t>Perform general machining</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8</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MEM12002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F4B35">
            <w:pPr>
              <w:pStyle w:val="BodyText"/>
              <w:rPr>
                <w:lang w:val="en-NZ"/>
              </w:rPr>
            </w:pPr>
            <w:r w:rsidRPr="005F4B35">
              <w:t>Perform electrical/electronic measurement</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MEM21001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F4B35">
            <w:pPr>
              <w:pStyle w:val="BodyText"/>
              <w:rPr>
                <w:lang w:val="en-NZ"/>
              </w:rPr>
            </w:pPr>
            <w:r w:rsidRPr="005F4B35">
              <w:t>Replace watch batteries, capacitors and bands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MEM21002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F4B35">
            <w:pPr>
              <w:pStyle w:val="BodyText"/>
              <w:rPr>
                <w:lang w:val="en-NZ"/>
              </w:rPr>
            </w:pPr>
            <w:r w:rsidRPr="005F4B35">
              <w:t>Perform watch movement exchange</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MEM21003</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F4B35">
            <w:pPr>
              <w:pStyle w:val="BodyText"/>
              <w:rPr>
                <w:lang w:val="en-NZ"/>
              </w:rPr>
            </w:pPr>
            <w:r w:rsidRPr="005F4B35">
              <w:t>Perform watch case servicing, repair and refurbishment</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MEM21004</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F4B35">
            <w:pPr>
              <w:pStyle w:val="BodyText"/>
              <w:rPr>
                <w:lang w:val="en-NZ"/>
              </w:rPr>
            </w:pPr>
            <w:r w:rsidRPr="005F4B35">
              <w:t>Clean watch and clock components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MEM21005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F4B35">
            <w:pPr>
              <w:pStyle w:val="BodyText"/>
              <w:rPr>
                <w:lang w:val="en-NZ"/>
              </w:rPr>
            </w:pPr>
            <w:r w:rsidRPr="005F4B35">
              <w:t>Diagnose faults in quartz watches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MEM21006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F4B35">
            <w:pPr>
              <w:pStyle w:val="BodyText"/>
              <w:rPr>
                <w:lang w:val="en-NZ"/>
              </w:rPr>
            </w:pPr>
            <w:r w:rsidRPr="005F4B35">
              <w:t>Service quartz watches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MEM21007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F4B35">
            <w:pPr>
              <w:pStyle w:val="BodyText"/>
              <w:rPr>
                <w:lang w:val="en-NZ"/>
              </w:rPr>
            </w:pPr>
            <w:r w:rsidRPr="005F4B35">
              <w:t>Service complex quartz watches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MEM21008</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F4B35">
            <w:pPr>
              <w:pStyle w:val="BodyText"/>
              <w:rPr>
                <w:lang w:val="en-NZ"/>
              </w:rPr>
            </w:pPr>
            <w:r w:rsidRPr="005F4B35">
              <w:t>Service mechanical watches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MEM21009</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F4B35">
            <w:pPr>
              <w:pStyle w:val="BodyText"/>
              <w:rPr>
                <w:lang w:val="en-NZ"/>
              </w:rPr>
            </w:pPr>
            <w:r w:rsidRPr="005F4B35">
              <w:t>Inspect, diagnose, adjust and repair mechanical watches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MEM21010</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F4B35">
            <w:pPr>
              <w:pStyle w:val="BodyText"/>
              <w:rPr>
                <w:lang w:val="en-NZ"/>
              </w:rPr>
            </w:pPr>
            <w:r w:rsidRPr="005F4B35">
              <w:t>Service watch power generating systems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MEM21011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F4B35">
            <w:pPr>
              <w:pStyle w:val="BodyText"/>
              <w:rPr>
                <w:lang w:val="en-NZ"/>
              </w:rPr>
            </w:pPr>
            <w:r w:rsidRPr="005F4B35">
              <w:t>Service calendar and other dial indication mechanisms for watches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MEM21012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F4B35">
            <w:pPr>
              <w:pStyle w:val="BodyText"/>
              <w:rPr>
                <w:lang w:val="en-NZ"/>
              </w:rPr>
            </w:pPr>
            <w:r w:rsidRPr="005F4B35">
              <w:t>Service and repair mechanical watch oscillating systems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MEM21013</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F4B35">
            <w:pPr>
              <w:pStyle w:val="BodyText"/>
              <w:rPr>
                <w:lang w:val="en-NZ"/>
              </w:rPr>
            </w:pPr>
            <w:r w:rsidRPr="005F4B35">
              <w:t>Service, test and adjust watch escapements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MEM21014</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F4B35">
            <w:pPr>
              <w:pStyle w:val="BodyText"/>
              <w:rPr>
                <w:lang w:val="en-NZ"/>
              </w:rPr>
            </w:pPr>
            <w:r w:rsidRPr="005F4B35">
              <w:t>Service mechanical chronograph watches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6</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MEM21015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F4B35">
            <w:pPr>
              <w:pStyle w:val="BodyText"/>
              <w:rPr>
                <w:lang w:val="en-NZ"/>
              </w:rPr>
            </w:pPr>
            <w:r w:rsidRPr="005F4B35">
              <w:t>Perform precision watch timing and adjustment</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6</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MEM21016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F4B35">
            <w:pPr>
              <w:pStyle w:val="BodyText"/>
              <w:rPr>
                <w:lang w:val="en-NZ"/>
              </w:rPr>
            </w:pPr>
            <w:r w:rsidRPr="005F4B35">
              <w:t>Install and set up clocks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2</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MEM21017</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F4B35">
            <w:pPr>
              <w:pStyle w:val="BodyText"/>
              <w:rPr>
                <w:lang w:val="en-NZ"/>
              </w:rPr>
            </w:pPr>
            <w:r w:rsidRPr="005F4B35">
              <w:t>Service and repair clock timepieces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6</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MEM21018</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F4B35">
            <w:pPr>
              <w:pStyle w:val="BodyText"/>
              <w:rPr>
                <w:lang w:val="en-NZ"/>
              </w:rPr>
            </w:pPr>
            <w:r w:rsidRPr="005F4B35">
              <w:t>Service clock escapements and oscillating systems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MEM21019</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F4B35">
            <w:pPr>
              <w:pStyle w:val="BodyText"/>
              <w:rPr>
                <w:lang w:val="en-NZ"/>
              </w:rPr>
            </w:pPr>
            <w:r w:rsidRPr="005F4B35">
              <w:t>Service and repair clock striking mechanisms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MEM21020</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F4B35">
            <w:pPr>
              <w:pStyle w:val="BodyText"/>
              <w:rPr>
                <w:lang w:val="en-NZ"/>
              </w:rPr>
            </w:pPr>
            <w:r w:rsidRPr="005F4B35">
              <w:t>Service and repair clock chiming mechanisms</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6</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448"/>
        </w:trPr>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MEM30025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5F4B35">
            <w:pPr>
              <w:pStyle w:val="BodyText"/>
              <w:rPr>
                <w:lang w:val="en-NZ"/>
              </w:rPr>
            </w:pPr>
            <w:r w:rsidRPr="005F4B35">
              <w:t>Analyse a simple electrical system circuit</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B35">
            <w:pPr>
              <w:pStyle w:val="BodyText"/>
              <w:rPr>
                <w:lang w:val="en-NZ"/>
              </w:rPr>
            </w:pPr>
            <w:r w:rsidRPr="005F4B35">
              <w:t>4</w:t>
            </w:r>
          </w:p>
        </w:tc>
        <w:tc>
          <w:tcPr>
            <w:tcW w:w="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B35" w:rsidP="005F4B35">
            <w:pPr>
              <w:pStyle w:val="BodyText"/>
            </w:pPr>
            <w:r w:rsidRPr="005F4B35">
              <w:t>*</w:t>
            </w:r>
          </w:p>
        </w:tc>
      </w:tr>
    </w:tbl>
    <w:p w:rsidR="00000000" w:rsidRPr="005F4B35" w:rsidP="005F4B35">
      <w:pPr>
        <w:pStyle w:val="BodyText"/>
      </w:pPr>
    </w:p>
    <w:p w:rsidR="00000000" w:rsidRPr="005F4B35" w:rsidP="00C865A1">
      <w:pPr>
        <w:pStyle w:val="Heading3"/>
      </w:pPr>
      <w:r w:rsidRPr="005F4B35">
        <w:rPr>
          <w:rStyle w:val="SpecialBold"/>
        </w:rPr>
        <w:t xml:space="preserve">Group B </w:t>
      </w:r>
    </w:p>
    <w:tbl>
      <w:tblPr>
        <w:tblW w:w="9639" w:type="dxa"/>
        <w:tblLayout w:type="fixed"/>
        <w:tblCellMar>
          <w:left w:w="62" w:type="dxa"/>
          <w:right w:w="62" w:type="dxa"/>
        </w:tblCellMar>
        <w:tblLook w:val="0000"/>
      </w:tblPr>
      <w:tblGrid>
        <w:gridCol w:w="1701"/>
        <w:gridCol w:w="6804"/>
        <w:gridCol w:w="567"/>
        <w:gridCol w:w="567"/>
      </w:tblGrid>
      <w:tr w:rsidTr="005F4B35">
        <w:tblPrEx>
          <w:tblW w:w="9639" w:type="dxa"/>
          <w:tblLayout w:type="fixed"/>
          <w:tblCellMar>
            <w:left w:w="62" w:type="dxa"/>
            <w:right w:w="62" w:type="dxa"/>
          </w:tblCellMar>
          <w:tblLook w:val="0000"/>
        </w:tblPrEx>
        <w:trPr>
          <w:trHeight w:val="255"/>
          <w:tblHeader/>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B35" w:rsidP="005F4B35">
            <w:pPr>
              <w:pStyle w:val="BodyText"/>
            </w:pPr>
            <w:r w:rsidRPr="005F4B35">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B35" w:rsidP="005F4B35">
            <w:pPr>
              <w:pStyle w:val="BodyText"/>
            </w:pPr>
            <w:r w:rsidRPr="005F4B35">
              <w:rPr>
                <w:rStyle w:val="SpecialBold"/>
              </w:rPr>
              <w:t>Unit title</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B35" w:rsidP="005F4B35">
            <w:pPr>
              <w:pStyle w:val="BodyText"/>
            </w:pPr>
            <w:r w:rsidRPr="005F4B35">
              <w:rPr>
                <w:rStyle w:val="SpecialBold"/>
              </w:rPr>
              <w:t>P</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B35">
            <w:pPr>
              <w:pStyle w:val="BodyText"/>
              <w:rPr>
                <w:lang w:val="en-NZ"/>
              </w:rPr>
            </w:pPr>
            <w:r w:rsidRPr="005F4B35">
              <w:rPr>
                <w:rStyle w:val="SpecialBold"/>
              </w:rPr>
              <w:t>Prereq</w:t>
            </w:r>
          </w:p>
        </w:tc>
      </w:tr>
      <w:tr w:rsidTr="005F4B35">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4B35">
            <w:pPr>
              <w:pStyle w:val="BodyText"/>
              <w:rPr>
                <w:lang w:val="en-NZ"/>
              </w:rPr>
            </w:pPr>
            <w:r w:rsidRPr="005F4B35">
              <w:t>MEM13001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4B35">
            <w:pPr>
              <w:pStyle w:val="BodyText"/>
              <w:rPr>
                <w:lang w:val="en-NZ"/>
              </w:rPr>
            </w:pPr>
            <w:r w:rsidRPr="005F4B35">
              <w:t>Perform emergency first aid</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B35">
            <w:pPr>
              <w:pStyle w:val="BodyText"/>
              <w:rPr>
                <w:lang w:val="en-NZ"/>
              </w:rPr>
            </w:pPr>
            <w:r w:rsidRPr="005F4B35">
              <w:t>1</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4B35">
            <w:pPr>
              <w:pStyle w:val="BodyText"/>
              <w:rPr>
                <w:lang w:val="en-NZ"/>
              </w:rPr>
            </w:pPr>
            <w:r w:rsidRPr="005F4B35">
              <w:t>MEM13019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4B35">
            <w:pPr>
              <w:pStyle w:val="BodyText"/>
              <w:rPr>
                <w:lang w:val="en-NZ"/>
              </w:rPr>
            </w:pPr>
            <w:r w:rsidRPr="005F4B35">
              <w:t>Undertake work health and safety activities in the workplace</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B35">
            <w:pPr>
              <w:pStyle w:val="BodyText"/>
              <w:rPr>
                <w:lang w:val="en-NZ"/>
              </w:rPr>
            </w:pPr>
            <w:r w:rsidRPr="005F4B35">
              <w:t>3</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B35">
            <w:pPr>
              <w:pStyle w:val="BodyText"/>
              <w:rPr>
                <w:lang w:val="en-NZ"/>
              </w:rPr>
            </w:pPr>
          </w:p>
        </w:tc>
      </w:tr>
      <w:tr w:rsidTr="005F4B35">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B35">
            <w:pPr>
              <w:pStyle w:val="BodyText"/>
              <w:rPr>
                <w:lang w:val="en-NZ"/>
              </w:rPr>
            </w:pPr>
            <w:r w:rsidRPr="005F4B35">
              <w:t>MEM15004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4B35">
            <w:pPr>
              <w:pStyle w:val="BodyText"/>
              <w:rPr>
                <w:lang w:val="en-NZ"/>
              </w:rPr>
            </w:pPr>
            <w:r w:rsidRPr="005F4B35">
              <w:t>Perform inspection</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B35">
            <w:pPr>
              <w:pStyle w:val="BodyText"/>
              <w:rPr>
                <w:lang w:val="en-NZ"/>
              </w:rPr>
            </w:pPr>
            <w:r w:rsidRPr="005F4B35">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4B35">
            <w:pPr>
              <w:pStyle w:val="BodyText"/>
              <w:rPr>
                <w:lang w:val="en-NZ"/>
              </w:rPr>
            </w:pPr>
            <w:r w:rsidRPr="005F4B35">
              <w:t>MEM16004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4B35">
            <w:pPr>
              <w:pStyle w:val="BodyText"/>
              <w:rPr>
                <w:lang w:val="en-NZ"/>
              </w:rPr>
            </w:pPr>
            <w:r w:rsidRPr="005F4B35">
              <w:t>Perform internal/external customer service</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B35">
            <w:pPr>
              <w:pStyle w:val="BodyText"/>
              <w:rPr>
                <w:lang w:val="en-NZ"/>
              </w:rPr>
            </w:pPr>
            <w:r w:rsidRPr="005F4B35">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4B35">
            <w:pPr>
              <w:pStyle w:val="BodyText"/>
              <w:rPr>
                <w:lang w:val="en-NZ"/>
              </w:rPr>
            </w:pPr>
            <w:r w:rsidRPr="005F4B35">
              <w:t>MEM16005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4B35">
            <w:pPr>
              <w:pStyle w:val="BodyText"/>
              <w:rPr>
                <w:lang w:val="en-NZ"/>
              </w:rPr>
            </w:pPr>
            <w:r w:rsidRPr="005F4B35">
              <w:t>Operate as a team member to conduct manufacturing, engineering or related activities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B35">
            <w:pPr>
              <w:pStyle w:val="BodyText"/>
              <w:rPr>
                <w:lang w:val="en-NZ"/>
              </w:rPr>
            </w:pPr>
            <w:r w:rsidRPr="005F4B35">
              <w:t>2</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4B35">
            <w:pPr>
              <w:pStyle w:val="BodyText"/>
              <w:rPr>
                <w:lang w:val="en-NZ"/>
              </w:rPr>
            </w:pPr>
            <w:r w:rsidRPr="005F4B35">
              <w:t>MEM16012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4B35">
            <w:pPr>
              <w:pStyle w:val="BodyText"/>
              <w:rPr>
                <w:lang w:val="en-NZ"/>
              </w:rPr>
            </w:pPr>
            <w:r w:rsidRPr="005F4B35">
              <w:t>Interpret technical specifications and manuals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B35">
            <w:pPr>
              <w:pStyle w:val="BodyText"/>
              <w:rPr>
                <w:lang w:val="en-NZ"/>
              </w:rPr>
            </w:pPr>
            <w:r w:rsidRPr="005F4B35">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4B35">
            <w:pPr>
              <w:pStyle w:val="BodyText"/>
              <w:rPr>
                <w:lang w:val="en-NZ"/>
              </w:rPr>
            </w:pPr>
            <w:r w:rsidRPr="005F4B35">
              <w:t>MEM18003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4B35">
            <w:pPr>
              <w:pStyle w:val="BodyText"/>
              <w:rPr>
                <w:lang w:val="en-NZ"/>
              </w:rPr>
            </w:pPr>
            <w:r w:rsidRPr="005F4B35">
              <w:t>Use tools for precision work</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B35">
            <w:pPr>
              <w:pStyle w:val="BodyText"/>
              <w:rPr>
                <w:lang w:val="en-NZ"/>
              </w:rPr>
            </w:pPr>
            <w:r w:rsidRPr="005F4B35">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B35">
            <w:pPr>
              <w:pStyle w:val="BodyText"/>
              <w:rPr>
                <w:lang w:val="en-NZ"/>
              </w:rPr>
            </w:pPr>
            <w:r w:rsidRPr="005F4B35">
              <w:t>MEM21021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4B35">
            <w:pPr>
              <w:pStyle w:val="BodyText"/>
              <w:rPr>
                <w:lang w:val="en-NZ"/>
              </w:rPr>
            </w:pPr>
            <w:r w:rsidRPr="005F4B35">
              <w:t>Restore clockwork mechanisms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B35">
            <w:pPr>
              <w:pStyle w:val="BodyText"/>
              <w:rPr>
                <w:lang w:val="en-NZ"/>
              </w:rPr>
            </w:pPr>
            <w:r w:rsidRPr="005F4B35">
              <w:t>6</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B35">
            <w:pPr>
              <w:pStyle w:val="BodyText"/>
              <w:rPr>
                <w:lang w:val="en-NZ"/>
              </w:rPr>
            </w:pPr>
            <w:r w:rsidRPr="005F4B35">
              <w:t>MEM21022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4B35">
            <w:pPr>
              <w:pStyle w:val="BodyText"/>
              <w:rPr>
                <w:lang w:val="en-NZ"/>
              </w:rPr>
            </w:pPr>
            <w:r w:rsidRPr="005F4B35">
              <w:t>Manufacture watch and clock components</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B35">
            <w:pPr>
              <w:pStyle w:val="BodyText"/>
              <w:rPr>
                <w:lang w:val="en-NZ"/>
              </w:rPr>
            </w:pPr>
            <w:r w:rsidRPr="005F4B35">
              <w:t>6</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B35">
            <w:pPr>
              <w:pStyle w:val="BodyText"/>
              <w:rPr>
                <w:lang w:val="en-NZ"/>
              </w:rPr>
            </w:pPr>
            <w:r w:rsidRPr="005F4B35">
              <w:t>*</w:t>
            </w:r>
          </w:p>
        </w:tc>
      </w:tr>
      <w:tr w:rsidTr="005F4B35">
        <w:tblPrEx>
          <w:tblW w:w="9639" w:type="dxa"/>
          <w:tblLayout w:type="fixed"/>
          <w:tblCellMar>
            <w:left w:w="62" w:type="dxa"/>
            <w:right w:w="62" w:type="dxa"/>
          </w:tblCellMar>
          <w:tblLook w:val="0000"/>
        </w:tblPrEx>
        <w:trPr>
          <w:trHeight w:val="25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B35">
            <w:pPr>
              <w:pStyle w:val="BodyText"/>
              <w:rPr>
                <w:lang w:val="en-NZ"/>
              </w:rPr>
            </w:pPr>
            <w:r w:rsidRPr="005F4B35">
              <w:t>MEM21023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4B35">
            <w:pPr>
              <w:pStyle w:val="BodyText"/>
              <w:rPr>
                <w:lang w:val="en-NZ"/>
              </w:rPr>
            </w:pPr>
            <w:r w:rsidRPr="005F4B35">
              <w:t>Plan, set up and operate horological workshop or service centre</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B35">
            <w:pPr>
              <w:pStyle w:val="BodyText"/>
              <w:rPr>
                <w:lang w:val="en-NZ"/>
              </w:rPr>
            </w:pPr>
            <w:r w:rsidRPr="005F4B35">
              <w:t>4</w:t>
            </w:r>
          </w:p>
        </w:tc>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B35" w:rsidP="005F4B35">
            <w:pPr>
              <w:pStyle w:val="BodyText"/>
            </w:pPr>
            <w:r w:rsidRPr="005F4B35">
              <w:t>*</w:t>
            </w:r>
          </w:p>
        </w:tc>
      </w:tr>
    </w:tbl>
    <w:p w:rsidR="00000000" w:rsidRPr="005F4B35" w:rsidP="005F4B35">
      <w:pPr>
        <w:pStyle w:val="BodyText"/>
      </w:pPr>
    </w:p>
    <w:p w:rsidR="00000000" w:rsidRPr="005F4B35" w:rsidP="005F4B35">
      <w:pPr>
        <w:pStyle w:val="AllowPageBreak"/>
      </w:pPr>
    </w:p>
    <w:p w:rsidR="00000000" w:rsidRPr="005F4B35" w:rsidP="005F4B35">
      <w:pPr>
        <w:pStyle w:val="Heading1"/>
      </w:pPr>
      <w:bookmarkStart w:id="5" w:name="O_1275034"/>
      <w:bookmarkEnd w:id="5"/>
      <w:r w:rsidRPr="005F4B35">
        <w:t>Qualification Mapping Information</w:t>
      </w:r>
    </w:p>
    <w:p w:rsidR="00000000" w:rsidRPr="005F4B35" w:rsidP="00C865A1">
      <w:pPr>
        <w:pStyle w:val="BodyText"/>
      </w:pPr>
      <w:r w:rsidRPr="005F4B35">
        <w:t>Release 3. Supersedes and is equivalent to MEM31019 Certificate III in Watch and Clock Service and Repair (Release 2).</w:t>
      </w:r>
    </w:p>
    <w:p w:rsidR="00000000" w:rsidRPr="005F4B35" w:rsidP="00C865A1">
      <w:pPr>
        <w:pStyle w:val="BodyText"/>
      </w:pPr>
      <w:r w:rsidRPr="005F4B35">
        <w:t>Release 2. Supersedes and is equivalent to MEM31019 Certificate III in Watch and Clock Service and Repair (Release 1).</w:t>
      </w:r>
    </w:p>
    <w:p w:rsidR="00000000" w:rsidRPr="005F4B35" w:rsidP="00C865A1">
      <w:pPr>
        <w:pStyle w:val="BodyText"/>
      </w:pPr>
      <w:r w:rsidRPr="005F4B35">
        <w:t>Release 1. Superse</w:t>
      </w:r>
      <w:r w:rsidRPr="005F4B35">
        <w:t>des and is equivalent to MEM31010 Certificate III in Watch and Clock Service and Repair.</w:t>
      </w:r>
    </w:p>
    <w:p w:rsidR="00000000" w:rsidRPr="005F4B35" w:rsidP="005F4B35">
      <w:pPr>
        <w:pStyle w:val="Heading1"/>
      </w:pPr>
      <w:bookmarkStart w:id="6" w:name="O_1275039"/>
      <w:bookmarkEnd w:id="6"/>
      <w:r w:rsidRPr="005F4B35">
        <w:t>Links</w:t>
      </w:r>
    </w:p>
    <w:p w:rsidR="00000000" w:rsidRPr="005F4B35" w:rsidP="00C865A1">
      <w:pPr>
        <w:pStyle w:val="BodyText"/>
      </w:pPr>
      <w:r w:rsidRPr="005F4B3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804E7">
        <w:rPr>
          <w:rStyle w:val="Hyperlink"/>
        </w:rPr>
        <w:t>https://vetnet.gov.au/Pages/TrainingDocs.aspx?q=b7050d37-5fd0-4740-8f7d-3b7a49c10bb2</w:t>
      </w:r>
      <w:r>
        <w:fldChar w:fldCharType="end"/>
      </w:r>
    </w:p>
    <w:p w:rsidR="00000000" w:rsidRPr="005F4B35" w:rsidP="005F4B35"/>
    <w:sectPr w:rsidSect="005F4B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B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B35" w:rsidRPr="00C865A1" w:rsidP="00C865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B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5A1" w:rsidP="005F4B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865A1" w:rsidP="005F4B3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865A1" w:rsidP="005F4B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B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5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4B35" w:rsidRPr="00C865A1" w:rsidP="00C865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B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5A1" w:rsidRPr="002D2AF8" w:rsidP="005F4B35">
    <w:pPr>
      <w:pStyle w:val="Header"/>
      <w:framePr w:wrap="around"/>
    </w:pPr>
    <w:r>
      <w:fldChar w:fldCharType="begin"/>
    </w:r>
    <w:r>
      <w:instrText xml:space="preserve"> TITLE   \* MERGEFORMAT </w:instrText>
    </w:r>
    <w:r>
      <w:fldChar w:fldCharType="separate"/>
    </w:r>
    <w:r>
      <w:t>MEM31019 Certificate III in Watch and Clock Service and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C865A1" w:rsidP="005F4B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CA5B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C0C0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B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4B35"/>
    <w:pPr>
      <w:spacing w:before="360" w:after="60"/>
      <w:outlineLvl w:val="0"/>
    </w:pPr>
    <w:rPr>
      <w:sz w:val="32"/>
    </w:rPr>
  </w:style>
  <w:style w:type="paragraph" w:styleId="Heading2">
    <w:name w:val="heading 2"/>
    <w:basedOn w:val="HeadingBase"/>
    <w:next w:val="BodyText"/>
    <w:link w:val="Heading2Char"/>
    <w:qFormat/>
    <w:rsid w:val="005F4B35"/>
    <w:pPr>
      <w:keepLines/>
      <w:spacing w:before="240" w:after="120"/>
      <w:outlineLvl w:val="1"/>
    </w:pPr>
    <w:rPr>
      <w:sz w:val="28"/>
      <w:szCs w:val="40"/>
    </w:rPr>
  </w:style>
  <w:style w:type="paragraph" w:styleId="Heading3">
    <w:name w:val="heading 3"/>
    <w:basedOn w:val="HeadingBase"/>
    <w:next w:val="BodyText"/>
    <w:link w:val="Heading3Char"/>
    <w:qFormat/>
    <w:rsid w:val="005F4B35"/>
    <w:pPr>
      <w:spacing w:before="180" w:after="120"/>
      <w:outlineLvl w:val="2"/>
    </w:pPr>
    <w:rPr>
      <w:spacing w:val="-10"/>
      <w:kern w:val="32"/>
    </w:rPr>
  </w:style>
  <w:style w:type="paragraph" w:styleId="Heading4">
    <w:name w:val="heading 4"/>
    <w:basedOn w:val="HeadingBase"/>
    <w:next w:val="BodyText"/>
    <w:link w:val="Heading4Char"/>
    <w:qFormat/>
    <w:rsid w:val="005F4B35"/>
    <w:pPr>
      <w:spacing w:before="160" w:after="120"/>
      <w:outlineLvl w:val="3"/>
    </w:pPr>
    <w:rPr>
      <w:sz w:val="22"/>
    </w:rPr>
  </w:style>
  <w:style w:type="paragraph" w:styleId="Heading5">
    <w:name w:val="heading 5"/>
    <w:basedOn w:val="HeadingBase"/>
    <w:next w:val="Normal"/>
    <w:link w:val="Heading5Char"/>
    <w:qFormat/>
    <w:rsid w:val="005F4B35"/>
    <w:pPr>
      <w:spacing w:before="80"/>
      <w:outlineLvl w:val="4"/>
    </w:pPr>
    <w:rPr>
      <w:color w:val="918585"/>
      <w:sz w:val="20"/>
    </w:rPr>
  </w:style>
  <w:style w:type="paragraph" w:styleId="Heading6">
    <w:name w:val="heading 6"/>
    <w:basedOn w:val="HeadingBase"/>
    <w:next w:val="Normal"/>
    <w:link w:val="Heading6Char"/>
    <w:qFormat/>
    <w:rsid w:val="005F4B35"/>
    <w:pPr>
      <w:spacing w:before="60"/>
      <w:outlineLvl w:val="5"/>
    </w:pPr>
    <w:rPr>
      <w:color w:val="918585"/>
      <w:sz w:val="20"/>
    </w:rPr>
  </w:style>
  <w:style w:type="paragraph" w:styleId="Heading7">
    <w:name w:val="heading 7"/>
    <w:basedOn w:val="Normal"/>
    <w:next w:val="Normal"/>
    <w:link w:val="Heading7Char"/>
    <w:qFormat/>
    <w:rsid w:val="005F4B35"/>
    <w:pPr>
      <w:ind w:left="720"/>
      <w:outlineLvl w:val="6"/>
    </w:pPr>
    <w:rPr>
      <w:i/>
    </w:rPr>
  </w:style>
  <w:style w:type="paragraph" w:styleId="Heading8">
    <w:name w:val="heading 8"/>
    <w:basedOn w:val="Normal"/>
    <w:next w:val="Normal"/>
    <w:link w:val="Heading8Char"/>
    <w:qFormat/>
    <w:rsid w:val="005F4B35"/>
    <w:pPr>
      <w:ind w:left="720"/>
      <w:outlineLvl w:val="7"/>
    </w:pPr>
    <w:rPr>
      <w:i/>
    </w:rPr>
  </w:style>
  <w:style w:type="paragraph" w:styleId="Heading9">
    <w:name w:val="heading 9"/>
    <w:basedOn w:val="Normal"/>
    <w:next w:val="Normal"/>
    <w:link w:val="Heading9Char"/>
    <w:qFormat/>
    <w:rsid w:val="005F4B35"/>
    <w:pPr>
      <w:ind w:left="720"/>
      <w:outlineLvl w:val="8"/>
    </w:pPr>
    <w:rPr>
      <w:i/>
    </w:rPr>
  </w:style>
  <w:style w:type="character" w:default="1" w:styleId="DefaultParagraphFont">
    <w:name w:val="Default Paragraph Font"/>
    <w:uiPriority w:val="1"/>
    <w:unhideWhenUsed/>
    <w:rsid w:val="005F4B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4B35"/>
  </w:style>
  <w:style w:type="character" w:customStyle="1" w:styleId="Heading1Char">
    <w:name w:val="Heading 1 Char"/>
    <w:basedOn w:val="DefaultParagraphFont"/>
    <w:link w:val="Heading1"/>
    <w:rsid w:val="005F4B35"/>
    <w:rPr>
      <w:rFonts w:ascii="Times New Roman" w:eastAsia="Times New Roman" w:hAnsi="Times New Roman" w:cs="Times New Roman"/>
      <w:b/>
      <w:sz w:val="32"/>
      <w:szCs w:val="20"/>
      <w:lang w:eastAsia="en-US"/>
    </w:rPr>
  </w:style>
  <w:style w:type="paragraph" w:styleId="BodyText">
    <w:name w:val="Body Text"/>
    <w:basedOn w:val="Normal"/>
    <w:link w:val="BodyTextChar"/>
    <w:rsid w:val="005F4B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4B35"/>
    <w:rPr>
      <w:rFonts w:ascii="Times New Roman" w:eastAsia="Times New Roman" w:hAnsi="Times New Roman" w:cs="Times New Roman"/>
      <w:sz w:val="24"/>
      <w:lang w:eastAsia="en-US"/>
    </w:rPr>
  </w:style>
  <w:style w:type="paragraph" w:styleId="ListBullet">
    <w:name w:val="List Bullet"/>
    <w:basedOn w:val="List"/>
    <w:rsid w:val="005F4B35"/>
    <w:pPr>
      <w:numPr>
        <w:numId w:val="11"/>
      </w:numPr>
      <w:tabs>
        <w:tab w:val="clear" w:pos="340"/>
      </w:tabs>
      <w:spacing w:before="40" w:after="40"/>
    </w:pPr>
  </w:style>
  <w:style w:type="character" w:customStyle="1" w:styleId="SpecialBold">
    <w:name w:val="Special Bold"/>
    <w:basedOn w:val="DefaultParagraphFont"/>
    <w:rsid w:val="005F4B35"/>
    <w:rPr>
      <w:b/>
      <w:spacing w:val="0"/>
    </w:rPr>
  </w:style>
  <w:style w:type="paragraph" w:customStyle="1" w:styleId="SuperHeading">
    <w:name w:val="SuperHeading"/>
    <w:basedOn w:val="Normal"/>
    <w:rsid w:val="005F4B35"/>
    <w:pPr>
      <w:spacing w:before="240" w:after="120"/>
      <w:outlineLvl w:val="0"/>
    </w:pPr>
    <w:rPr>
      <w:rFonts w:ascii="Times New Roman" w:hAnsi="Times New Roman"/>
      <w:b/>
      <w:sz w:val="32"/>
    </w:rPr>
  </w:style>
  <w:style w:type="paragraph" w:customStyle="1" w:styleId="AllowPageBreak">
    <w:name w:val="AllowPageBreak"/>
    <w:rsid w:val="005F4B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4B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4B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4B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4B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4B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4B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4B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4B35"/>
    <w:rPr>
      <w:rFonts w:ascii="Courier New" w:eastAsia="Times New Roman" w:hAnsi="Courier New" w:cs="Times New Roman"/>
      <w:i/>
      <w:szCs w:val="20"/>
      <w:lang w:eastAsia="en-US"/>
    </w:rPr>
  </w:style>
  <w:style w:type="paragraph" w:customStyle="1" w:styleId="HeadingBase">
    <w:name w:val="Heading Base"/>
    <w:rsid w:val="005F4B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4B35"/>
    <w:pPr>
      <w:tabs>
        <w:tab w:val="right" w:leader="dot" w:pos="9072"/>
      </w:tabs>
      <w:ind w:left="567"/>
    </w:pPr>
    <w:rPr>
      <w:szCs w:val="22"/>
    </w:rPr>
  </w:style>
  <w:style w:type="paragraph" w:customStyle="1" w:styleId="TOCBase">
    <w:name w:val="TOC Base"/>
    <w:rsid w:val="005F4B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4B35"/>
    <w:pPr>
      <w:tabs>
        <w:tab w:val="right" w:leader="dot" w:pos="9072"/>
      </w:tabs>
      <w:spacing w:before="40" w:after="40"/>
      <w:ind w:left="284"/>
    </w:pPr>
    <w:rPr>
      <w:rFonts w:ascii="Times New Roman" w:hAnsi="Times New Roman"/>
    </w:rPr>
  </w:style>
  <w:style w:type="paragraph" w:styleId="TOC1">
    <w:name w:val="toc 1"/>
    <w:basedOn w:val="TOCBase"/>
    <w:next w:val="Normal"/>
    <w:rsid w:val="005F4B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4B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4B35"/>
    <w:rPr>
      <w:rFonts w:ascii="Times New Roman" w:eastAsia="Times New Roman" w:hAnsi="Times New Roman" w:cs="Times New Roman"/>
      <w:sz w:val="16"/>
      <w:lang w:eastAsia="en-US"/>
    </w:rPr>
  </w:style>
  <w:style w:type="paragraph" w:styleId="Title">
    <w:name w:val="Title"/>
    <w:basedOn w:val="HeadingBase"/>
    <w:link w:val="TitleChar"/>
    <w:qFormat/>
    <w:rsid w:val="005F4B35"/>
    <w:pPr>
      <w:spacing w:before="5040"/>
      <w:jc w:val="center"/>
    </w:pPr>
    <w:rPr>
      <w:sz w:val="48"/>
      <w:szCs w:val="72"/>
      <w:lang w:val="en-US"/>
    </w:rPr>
  </w:style>
  <w:style w:type="character" w:customStyle="1" w:styleId="TitleChar">
    <w:name w:val="Title Char"/>
    <w:basedOn w:val="DefaultParagraphFont"/>
    <w:link w:val="Title"/>
    <w:rsid w:val="005F4B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4B35"/>
    <w:pPr>
      <w:tabs>
        <w:tab w:val="left" w:pos="3600"/>
        <w:tab w:val="left" w:pos="3958"/>
      </w:tabs>
    </w:pPr>
  </w:style>
  <w:style w:type="paragraph" w:styleId="List">
    <w:name w:val="List"/>
    <w:basedOn w:val="BodyText"/>
    <w:next w:val="BodyText"/>
    <w:rsid w:val="005F4B35"/>
    <w:pPr>
      <w:tabs>
        <w:tab w:val="left" w:pos="340"/>
      </w:tabs>
      <w:spacing w:before="60" w:after="60"/>
      <w:ind w:left="340" w:hanging="340"/>
    </w:pPr>
  </w:style>
  <w:style w:type="paragraph" w:customStyle="1" w:styleId="Note">
    <w:name w:val="Note"/>
    <w:basedOn w:val="BodyText"/>
    <w:rsid w:val="005F4B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4B35"/>
    <w:pPr>
      <w:framePr w:wrap="auto" w:hAnchor="text" w:y="6049"/>
    </w:pPr>
    <w:rPr>
      <w:color w:val="000000"/>
      <w:sz w:val="40"/>
    </w:rPr>
  </w:style>
  <w:style w:type="paragraph" w:customStyle="1" w:styleId="TOCTitle">
    <w:name w:val="TOCTitle"/>
    <w:basedOn w:val="Heading1"/>
    <w:rsid w:val="005F4B35"/>
    <w:pPr>
      <w:spacing w:after="240"/>
      <w:jc w:val="center"/>
      <w:outlineLvl w:val="9"/>
    </w:pPr>
    <w:rPr>
      <w:caps/>
    </w:rPr>
  </w:style>
  <w:style w:type="paragraph" w:customStyle="1" w:styleId="Version">
    <w:name w:val="Version"/>
    <w:rsid w:val="005F4B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4B35"/>
    <w:pPr>
      <w:numPr>
        <w:numId w:val="12"/>
      </w:numPr>
      <w:tabs>
        <w:tab w:val="clear" w:pos="680"/>
      </w:tabs>
    </w:pPr>
  </w:style>
  <w:style w:type="paragraph" w:styleId="Index1">
    <w:name w:val="index 1"/>
    <w:basedOn w:val="Normal"/>
    <w:next w:val="Normal"/>
    <w:semiHidden/>
    <w:rsid w:val="005F4B35"/>
    <w:pPr>
      <w:keepNext w:val="0"/>
      <w:tabs>
        <w:tab w:val="right" w:pos="4176"/>
      </w:tabs>
      <w:ind w:left="198" w:hanging="198"/>
    </w:pPr>
    <w:rPr>
      <w:rFonts w:ascii="Garamond" w:hAnsi="Garamond"/>
    </w:rPr>
  </w:style>
  <w:style w:type="paragraph" w:styleId="IndexHeading">
    <w:name w:val="index heading"/>
    <w:basedOn w:val="Normal"/>
    <w:next w:val="Index1"/>
    <w:semiHidden/>
    <w:rsid w:val="005F4B35"/>
    <w:pPr>
      <w:spacing w:before="120" w:after="120"/>
    </w:pPr>
    <w:rPr>
      <w:rFonts w:ascii="Arial" w:hAnsi="Arial"/>
      <w:b/>
      <w:color w:val="918585"/>
      <w:sz w:val="24"/>
    </w:rPr>
  </w:style>
  <w:style w:type="paragraph" w:styleId="Header">
    <w:name w:val="header"/>
    <w:basedOn w:val="Normal"/>
    <w:link w:val="HeaderChar"/>
    <w:rsid w:val="005F4B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4B35"/>
    <w:rPr>
      <w:rFonts w:ascii="Times New Roman" w:eastAsia="Times New Roman" w:hAnsi="Times New Roman" w:cs="Times New Roman"/>
      <w:sz w:val="16"/>
      <w:szCs w:val="20"/>
      <w:lang w:val="en-GB" w:eastAsia="en-US"/>
    </w:rPr>
  </w:style>
  <w:style w:type="paragraph" w:customStyle="1" w:styleId="Chapter">
    <w:name w:val="Chapter"/>
    <w:basedOn w:val="Normal"/>
    <w:rsid w:val="005F4B35"/>
    <w:pPr>
      <w:spacing w:before="240"/>
    </w:pPr>
    <w:rPr>
      <w:rFonts w:ascii="Times New Roman" w:hAnsi="Times New Roman"/>
      <w:smallCaps/>
      <w:spacing w:val="80"/>
      <w:sz w:val="28"/>
    </w:rPr>
  </w:style>
  <w:style w:type="paragraph" w:customStyle="1" w:styleId="InChapter">
    <w:name w:val="InChapter"/>
    <w:basedOn w:val="Heading3"/>
    <w:rsid w:val="005F4B35"/>
    <w:pPr>
      <w:spacing w:after="240"/>
      <w:outlineLvl w:val="9"/>
    </w:pPr>
    <w:rPr>
      <w:noProof/>
    </w:rPr>
  </w:style>
  <w:style w:type="paragraph" w:styleId="Index2">
    <w:name w:val="index 2"/>
    <w:basedOn w:val="Normal"/>
    <w:next w:val="Normal"/>
    <w:semiHidden/>
    <w:rsid w:val="005F4B35"/>
    <w:pPr>
      <w:tabs>
        <w:tab w:val="right" w:pos="4176"/>
      </w:tabs>
      <w:ind w:left="568" w:hanging="284"/>
    </w:pPr>
    <w:rPr>
      <w:rFonts w:ascii="Garamond" w:hAnsi="Garamond"/>
    </w:rPr>
  </w:style>
  <w:style w:type="paragraph" w:customStyle="1" w:styleId="Byline">
    <w:name w:val="Byline"/>
    <w:rsid w:val="005F4B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4B35"/>
    <w:pPr>
      <w:tabs>
        <w:tab w:val="clear" w:pos="3600"/>
        <w:tab w:val="clear" w:pos="3958"/>
      </w:tabs>
      <w:jc w:val="right"/>
    </w:pPr>
  </w:style>
  <w:style w:type="character" w:styleId="Emphasis">
    <w:name w:val="Emphasis"/>
    <w:basedOn w:val="DefaultParagraphFont"/>
    <w:qFormat/>
    <w:rsid w:val="005F4B35"/>
    <w:rPr>
      <w:i/>
    </w:rPr>
  </w:style>
  <w:style w:type="paragraph" w:styleId="Caption">
    <w:name w:val="caption"/>
    <w:basedOn w:val="BodyText"/>
    <w:next w:val="Normal"/>
    <w:qFormat/>
    <w:rsid w:val="005F4B35"/>
    <w:pPr>
      <w:framePr w:w="2268" w:hSpace="181" w:vSpace="181" w:wrap="around" w:vAnchor="text" w:hAnchor="page" w:x="1135" w:y="285" w:anchorLock="1"/>
    </w:pPr>
    <w:rPr>
      <w:i/>
    </w:rPr>
  </w:style>
  <w:style w:type="paragraph" w:customStyle="1" w:styleId="MiniTOCTitle">
    <w:name w:val="MiniTOCTitle"/>
    <w:basedOn w:val="Heading4"/>
    <w:rsid w:val="005F4B35"/>
    <w:pPr>
      <w:spacing w:before="240"/>
      <w:outlineLvl w:val="9"/>
    </w:pPr>
    <w:rPr>
      <w:noProof/>
      <w:sz w:val="24"/>
    </w:rPr>
  </w:style>
  <w:style w:type="paragraph" w:customStyle="1" w:styleId="MiniTOCItem">
    <w:name w:val="MiniTOCItem"/>
    <w:basedOn w:val="ListBullet"/>
    <w:rsid w:val="005F4B35"/>
    <w:pPr>
      <w:numPr>
        <w:numId w:val="0"/>
      </w:numPr>
      <w:tabs>
        <w:tab w:val="right" w:leader="dot" w:pos="6521"/>
      </w:tabs>
      <w:spacing w:before="0" w:after="0"/>
    </w:pPr>
  </w:style>
  <w:style w:type="paragraph" w:customStyle="1" w:styleId="TOFTitle">
    <w:name w:val="TOFTitle"/>
    <w:basedOn w:val="TOCTitle"/>
    <w:rsid w:val="005F4B35"/>
  </w:style>
  <w:style w:type="paragraph" w:styleId="TableofFigures">
    <w:name w:val="table of figures"/>
    <w:basedOn w:val="Normal"/>
    <w:next w:val="Normal"/>
    <w:semiHidden/>
    <w:rsid w:val="005F4B35"/>
    <w:pPr>
      <w:tabs>
        <w:tab w:val="right" w:leader="dot" w:pos="9072"/>
      </w:tabs>
      <w:ind w:left="970" w:hanging="403"/>
    </w:pPr>
    <w:rPr>
      <w:rFonts w:ascii="Times New Roman" w:hAnsi="Times New Roman"/>
      <w:b/>
    </w:rPr>
  </w:style>
  <w:style w:type="paragraph" w:styleId="ListNumber">
    <w:name w:val="List Number"/>
    <w:basedOn w:val="List"/>
    <w:rsid w:val="005F4B35"/>
    <w:pPr>
      <w:numPr>
        <w:numId w:val="14"/>
      </w:numPr>
      <w:tabs>
        <w:tab w:val="clear" w:pos="340"/>
      </w:tabs>
    </w:pPr>
  </w:style>
  <w:style w:type="character" w:customStyle="1" w:styleId="WingdingSymbols">
    <w:name w:val="Wingding Symbols"/>
    <w:rsid w:val="005F4B35"/>
    <w:rPr>
      <w:rFonts w:ascii="Wingdings" w:hAnsi="Wingdings"/>
    </w:rPr>
  </w:style>
  <w:style w:type="paragraph" w:customStyle="1" w:styleId="TableHeading">
    <w:name w:val="Table Heading"/>
    <w:basedOn w:val="HeadingBase"/>
    <w:rsid w:val="005F4B35"/>
    <w:pPr>
      <w:keepLines/>
      <w:pBdr>
        <w:bottom w:val="single" w:sz="6" w:space="1" w:color="918585"/>
      </w:pBdr>
      <w:spacing w:before="240"/>
    </w:pPr>
  </w:style>
  <w:style w:type="character" w:customStyle="1" w:styleId="HotSpot">
    <w:name w:val="HotSpot"/>
    <w:rsid w:val="005F4B35"/>
    <w:rPr>
      <w:color w:val="0033CC"/>
      <w:u w:val="none"/>
    </w:rPr>
  </w:style>
  <w:style w:type="paragraph" w:customStyle="1" w:styleId="BodyTextRight">
    <w:name w:val="Body Text Right"/>
    <w:basedOn w:val="BodyText"/>
    <w:rsid w:val="005F4B35"/>
    <w:pPr>
      <w:spacing w:before="0" w:after="0"/>
      <w:jc w:val="right"/>
    </w:pPr>
  </w:style>
  <w:style w:type="paragraph" w:styleId="Index3">
    <w:name w:val="index 3"/>
    <w:basedOn w:val="ListNumber2"/>
    <w:next w:val="Normal"/>
    <w:semiHidden/>
    <w:rsid w:val="005F4B35"/>
    <w:pPr>
      <w:numPr>
        <w:numId w:val="0"/>
      </w:numPr>
      <w:tabs>
        <w:tab w:val="right" w:leader="dot" w:pos="4176"/>
      </w:tabs>
    </w:pPr>
  </w:style>
  <w:style w:type="paragraph" w:styleId="ListNumber2">
    <w:name w:val="List Number 2"/>
    <w:basedOn w:val="List2"/>
    <w:rsid w:val="005F4B35"/>
    <w:pPr>
      <w:numPr>
        <w:numId w:val="9"/>
      </w:numPr>
      <w:tabs>
        <w:tab w:val="clear" w:pos="1060"/>
      </w:tabs>
    </w:pPr>
  </w:style>
  <w:style w:type="paragraph" w:customStyle="1" w:styleId="MarginNote">
    <w:name w:val="Margin Note"/>
    <w:basedOn w:val="BodyText"/>
    <w:rsid w:val="005F4B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4B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4B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4B35"/>
    <w:rPr>
      <w:sz w:val="32"/>
    </w:rPr>
  </w:style>
  <w:style w:type="paragraph" w:customStyle="1" w:styleId="HeadingProcedure">
    <w:name w:val="Heading Procedure"/>
    <w:basedOn w:val="HeadingBase"/>
    <w:next w:val="Normal"/>
    <w:rsid w:val="005F4B35"/>
    <w:pPr>
      <w:tabs>
        <w:tab w:val="left" w:pos="0"/>
      </w:tabs>
      <w:spacing w:before="120" w:after="60"/>
    </w:pPr>
    <w:rPr>
      <w:i/>
      <w:color w:val="918585"/>
      <w:sz w:val="22"/>
    </w:rPr>
  </w:style>
  <w:style w:type="paragraph" w:customStyle="1" w:styleId="TableBodyText">
    <w:name w:val="Table Body Text"/>
    <w:basedOn w:val="BodyText"/>
    <w:rsid w:val="005F4B35"/>
    <w:pPr>
      <w:spacing w:before="60" w:after="60"/>
    </w:pPr>
  </w:style>
  <w:style w:type="paragraph" w:styleId="ListContinue">
    <w:name w:val="List Continue"/>
    <w:basedOn w:val="List"/>
    <w:rsid w:val="005F4B35"/>
    <w:pPr>
      <w:ind w:firstLine="0"/>
    </w:pPr>
  </w:style>
  <w:style w:type="paragraph" w:customStyle="1" w:styleId="ListNote">
    <w:name w:val="List Note"/>
    <w:basedOn w:val="List"/>
    <w:rsid w:val="005F4B35"/>
    <w:pPr>
      <w:pBdr>
        <w:top w:val="single" w:sz="6" w:space="2" w:color="918585"/>
        <w:bottom w:val="single" w:sz="6" w:space="2" w:color="918585"/>
      </w:pBdr>
      <w:tabs>
        <w:tab w:val="left" w:pos="1021"/>
      </w:tabs>
      <w:ind w:firstLine="0"/>
    </w:pPr>
  </w:style>
  <w:style w:type="paragraph" w:customStyle="1" w:styleId="Warning">
    <w:name w:val="Warning"/>
    <w:basedOn w:val="BodyText"/>
    <w:rsid w:val="005F4B35"/>
    <w:pPr>
      <w:shd w:val="clear" w:color="auto" w:fill="D9D9D9"/>
      <w:tabs>
        <w:tab w:val="left" w:pos="992"/>
      </w:tabs>
      <w:ind w:left="119" w:right="119"/>
    </w:pPr>
    <w:rPr>
      <w:sz w:val="20"/>
    </w:rPr>
  </w:style>
  <w:style w:type="paragraph" w:customStyle="1" w:styleId="MarginIcons">
    <w:name w:val="Margin Icons"/>
    <w:basedOn w:val="BodyText"/>
    <w:rsid w:val="005F4B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4B35"/>
    <w:rPr>
      <w:rFonts w:ascii="Courier New" w:hAnsi="Courier New"/>
    </w:rPr>
  </w:style>
  <w:style w:type="paragraph" w:customStyle="1" w:styleId="NoteBullet">
    <w:name w:val="Note Bullet"/>
    <w:basedOn w:val="Note"/>
    <w:rsid w:val="005F4B35"/>
    <w:pPr>
      <w:tabs>
        <w:tab w:val="clear" w:pos="680"/>
      </w:tabs>
      <w:spacing w:before="60" w:after="60"/>
    </w:pPr>
  </w:style>
  <w:style w:type="paragraph" w:customStyle="1" w:styleId="SubHeading2">
    <w:name w:val="SubHeading2"/>
    <w:basedOn w:val="HeadingBase"/>
    <w:rsid w:val="005F4B35"/>
    <w:pPr>
      <w:spacing w:before="240" w:after="60"/>
    </w:pPr>
    <w:rPr>
      <w:sz w:val="20"/>
    </w:rPr>
  </w:style>
  <w:style w:type="paragraph" w:customStyle="1" w:styleId="SubHeading1">
    <w:name w:val="SubHeading1"/>
    <w:basedOn w:val="HeadingBase"/>
    <w:rsid w:val="005F4B35"/>
    <w:pPr>
      <w:spacing w:before="240" w:after="60"/>
    </w:pPr>
    <w:rPr>
      <w:color w:val="918585"/>
      <w:sz w:val="22"/>
    </w:rPr>
  </w:style>
  <w:style w:type="paragraph" w:customStyle="1" w:styleId="SideHeading">
    <w:name w:val="Side Heading"/>
    <w:basedOn w:val="HeadingBase"/>
    <w:rsid w:val="005F4B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4B35"/>
    <w:pPr>
      <w:numPr>
        <w:numId w:val="10"/>
      </w:numPr>
    </w:pPr>
  </w:style>
  <w:style w:type="paragraph" w:styleId="PlainText">
    <w:name w:val="Plain Text"/>
    <w:basedOn w:val="Normal"/>
    <w:link w:val="PlainTextChar"/>
    <w:rsid w:val="005F4B35"/>
    <w:rPr>
      <w:sz w:val="20"/>
    </w:rPr>
  </w:style>
  <w:style w:type="character" w:customStyle="1" w:styleId="PlainTextChar">
    <w:name w:val="Plain Text Char"/>
    <w:basedOn w:val="DefaultParagraphFont"/>
    <w:link w:val="PlainText"/>
    <w:rsid w:val="005F4B35"/>
    <w:rPr>
      <w:rFonts w:ascii="Courier New" w:eastAsia="Times New Roman" w:hAnsi="Courier New" w:cs="Times New Roman"/>
      <w:sz w:val="20"/>
      <w:szCs w:val="20"/>
      <w:lang w:eastAsia="en-US"/>
    </w:rPr>
  </w:style>
  <w:style w:type="character" w:customStyle="1" w:styleId="MenuOption">
    <w:name w:val="Menu Option"/>
    <w:basedOn w:val="DefaultParagraphFont"/>
    <w:rsid w:val="005F4B35"/>
    <w:rPr>
      <w:b/>
      <w:smallCaps/>
    </w:rPr>
  </w:style>
  <w:style w:type="paragraph" w:customStyle="1" w:styleId="TableListNumber">
    <w:name w:val="Table List Number"/>
    <w:basedOn w:val="ListNumber"/>
    <w:rsid w:val="005F4B35"/>
    <w:pPr>
      <w:numPr>
        <w:numId w:val="0"/>
      </w:numPr>
    </w:pPr>
  </w:style>
  <w:style w:type="paragraph" w:styleId="TOC4">
    <w:name w:val="toc 4"/>
    <w:basedOn w:val="TOCBase"/>
    <w:next w:val="Normal"/>
    <w:semiHidden/>
    <w:rsid w:val="005F4B35"/>
    <w:pPr>
      <w:tabs>
        <w:tab w:val="right" w:leader="dot" w:pos="9071"/>
      </w:tabs>
      <w:ind w:left="1701"/>
    </w:pPr>
  </w:style>
  <w:style w:type="paragraph" w:customStyle="1" w:styleId="ListAlpha">
    <w:name w:val="List Alpha"/>
    <w:basedOn w:val="List"/>
    <w:rsid w:val="005F4B35"/>
    <w:pPr>
      <w:numPr>
        <w:numId w:val="8"/>
      </w:numPr>
    </w:pPr>
  </w:style>
  <w:style w:type="paragraph" w:customStyle="1" w:styleId="ListAlpha2">
    <w:name w:val="List Alpha 2"/>
    <w:basedOn w:val="List2"/>
    <w:rsid w:val="005F4B35"/>
    <w:pPr>
      <w:numPr>
        <w:numId w:val="7"/>
      </w:numPr>
    </w:pPr>
  </w:style>
  <w:style w:type="paragraph" w:styleId="List2">
    <w:name w:val="List 2"/>
    <w:basedOn w:val="BodyText"/>
    <w:rsid w:val="005F4B35"/>
    <w:pPr>
      <w:tabs>
        <w:tab w:val="left" w:pos="680"/>
      </w:tabs>
      <w:spacing w:before="60" w:after="60"/>
      <w:ind w:left="680" w:hanging="340"/>
    </w:pPr>
  </w:style>
  <w:style w:type="paragraph" w:styleId="List3">
    <w:name w:val="List 3"/>
    <w:basedOn w:val="BodyText"/>
    <w:rsid w:val="005F4B35"/>
    <w:pPr>
      <w:tabs>
        <w:tab w:val="left" w:pos="1021"/>
      </w:tabs>
      <w:spacing w:before="60" w:after="60"/>
      <w:ind w:left="1020" w:hanging="340"/>
    </w:pPr>
  </w:style>
  <w:style w:type="paragraph" w:styleId="List4">
    <w:name w:val="List 4"/>
    <w:basedOn w:val="BodyText"/>
    <w:rsid w:val="005F4B35"/>
    <w:pPr>
      <w:tabs>
        <w:tab w:val="left" w:pos="1361"/>
      </w:tabs>
      <w:spacing w:before="60" w:after="60"/>
      <w:ind w:left="1361" w:hanging="340"/>
    </w:pPr>
  </w:style>
  <w:style w:type="paragraph" w:styleId="List5">
    <w:name w:val="List 5"/>
    <w:basedOn w:val="BodyText"/>
    <w:rsid w:val="005F4B35"/>
    <w:pPr>
      <w:tabs>
        <w:tab w:val="left" w:pos="1701"/>
      </w:tabs>
      <w:spacing w:before="60" w:after="60"/>
      <w:ind w:left="1701" w:hanging="340"/>
    </w:pPr>
  </w:style>
  <w:style w:type="paragraph" w:styleId="ListBullet3">
    <w:name w:val="List Bullet 3"/>
    <w:basedOn w:val="List3"/>
    <w:rsid w:val="005F4B35"/>
    <w:pPr>
      <w:numPr>
        <w:numId w:val="13"/>
      </w:numPr>
      <w:tabs>
        <w:tab w:val="clear" w:pos="1021"/>
      </w:tabs>
      <w:ind w:left="1037" w:hanging="357"/>
    </w:pPr>
  </w:style>
  <w:style w:type="paragraph" w:styleId="ListBullet4">
    <w:name w:val="List Bullet 4"/>
    <w:basedOn w:val="List4"/>
    <w:rsid w:val="005F4B35"/>
    <w:pPr>
      <w:numPr>
        <w:numId w:val="2"/>
      </w:numPr>
      <w:tabs>
        <w:tab w:val="clear" w:pos="1361"/>
      </w:tabs>
    </w:pPr>
  </w:style>
  <w:style w:type="paragraph" w:styleId="ListBullet5">
    <w:name w:val="List Bullet 5"/>
    <w:basedOn w:val="List5"/>
    <w:rsid w:val="005F4B35"/>
    <w:pPr>
      <w:numPr>
        <w:numId w:val="3"/>
      </w:numPr>
    </w:pPr>
  </w:style>
  <w:style w:type="paragraph" w:styleId="ListContinue2">
    <w:name w:val="List Continue 2"/>
    <w:basedOn w:val="List2"/>
    <w:rsid w:val="005F4B35"/>
    <w:pPr>
      <w:ind w:firstLine="0"/>
    </w:pPr>
  </w:style>
  <w:style w:type="paragraph" w:styleId="ListContinue3">
    <w:name w:val="List Continue 3"/>
    <w:basedOn w:val="List3"/>
    <w:rsid w:val="005F4B35"/>
    <w:pPr>
      <w:ind w:left="1021" w:firstLine="0"/>
    </w:pPr>
  </w:style>
  <w:style w:type="paragraph" w:styleId="ListContinue4">
    <w:name w:val="List Continue 4"/>
    <w:basedOn w:val="List4"/>
    <w:rsid w:val="005F4B35"/>
    <w:pPr>
      <w:ind w:firstLine="0"/>
    </w:pPr>
  </w:style>
  <w:style w:type="paragraph" w:styleId="ListContinue5">
    <w:name w:val="List Continue 5"/>
    <w:basedOn w:val="List5"/>
    <w:rsid w:val="005F4B35"/>
    <w:pPr>
      <w:ind w:firstLine="0"/>
    </w:pPr>
  </w:style>
  <w:style w:type="paragraph" w:styleId="ListNumber3">
    <w:name w:val="List Number 3"/>
    <w:basedOn w:val="List3"/>
    <w:rsid w:val="005F4B35"/>
    <w:pPr>
      <w:numPr>
        <w:numId w:val="4"/>
      </w:numPr>
    </w:pPr>
  </w:style>
  <w:style w:type="paragraph" w:styleId="ListNumber4">
    <w:name w:val="List Number 4"/>
    <w:basedOn w:val="List4"/>
    <w:rsid w:val="005F4B35"/>
    <w:pPr>
      <w:numPr>
        <w:numId w:val="5"/>
      </w:numPr>
    </w:pPr>
  </w:style>
  <w:style w:type="paragraph" w:styleId="ListNumber5">
    <w:name w:val="List Number 5"/>
    <w:basedOn w:val="List5"/>
    <w:rsid w:val="005F4B35"/>
    <w:pPr>
      <w:numPr>
        <w:numId w:val="6"/>
      </w:numPr>
    </w:pPr>
  </w:style>
  <w:style w:type="paragraph" w:styleId="BlockText">
    <w:name w:val="Block Text"/>
    <w:basedOn w:val="Normal"/>
    <w:rsid w:val="005F4B35"/>
    <w:pPr>
      <w:spacing w:after="120"/>
      <w:ind w:left="1440" w:right="1440"/>
    </w:pPr>
  </w:style>
  <w:style w:type="character" w:customStyle="1" w:styleId="Subscript">
    <w:name w:val="Subscript"/>
    <w:basedOn w:val="DefaultParagraphFont"/>
    <w:rsid w:val="005F4B35"/>
    <w:rPr>
      <w:sz w:val="16"/>
      <w:vertAlign w:val="subscript"/>
    </w:rPr>
  </w:style>
  <w:style w:type="character" w:customStyle="1" w:styleId="Superscript">
    <w:name w:val="Superscript"/>
    <w:basedOn w:val="DefaultParagraphFont"/>
    <w:rsid w:val="005F4B35"/>
    <w:rPr>
      <w:sz w:val="16"/>
      <w:vertAlign w:val="superscript"/>
    </w:rPr>
  </w:style>
  <w:style w:type="character" w:customStyle="1" w:styleId="Symbols">
    <w:name w:val="Symbols"/>
    <w:basedOn w:val="DefaultParagraphFont"/>
    <w:rsid w:val="005F4B35"/>
    <w:rPr>
      <w:rFonts w:ascii="Symbol" w:hAnsi="Symbol"/>
    </w:rPr>
  </w:style>
  <w:style w:type="character" w:customStyle="1" w:styleId="MenuOptions">
    <w:name w:val="Menu Options"/>
    <w:basedOn w:val="DefaultParagraphFont"/>
    <w:rsid w:val="005F4B35"/>
    <w:rPr>
      <w:rFonts w:ascii="Arial Narrow" w:hAnsi="Arial Narrow"/>
      <w:smallCaps/>
    </w:rPr>
  </w:style>
  <w:style w:type="character" w:customStyle="1" w:styleId="Buttons">
    <w:name w:val="Buttons"/>
    <w:basedOn w:val="DefaultParagraphFont"/>
    <w:rsid w:val="005F4B35"/>
    <w:rPr>
      <w:b/>
    </w:rPr>
  </w:style>
  <w:style w:type="character" w:customStyle="1" w:styleId="Underlined">
    <w:name w:val="Underlined"/>
    <w:basedOn w:val="DefaultParagraphFont"/>
    <w:rsid w:val="005F4B35"/>
    <w:rPr>
      <w:u w:val="single"/>
    </w:rPr>
  </w:style>
  <w:style w:type="paragraph" w:customStyle="1" w:styleId="TableBodyTextRight">
    <w:name w:val="Table Body Text Right"/>
    <w:basedOn w:val="TableBodyText"/>
    <w:rsid w:val="005F4B35"/>
    <w:pPr>
      <w:widowControl w:val="0"/>
      <w:autoSpaceDE w:val="0"/>
      <w:autoSpaceDN w:val="0"/>
      <w:adjustRightInd w:val="0"/>
      <w:jc w:val="right"/>
    </w:pPr>
    <w:rPr>
      <w:rFonts w:cs="Arial"/>
      <w:szCs w:val="18"/>
    </w:rPr>
  </w:style>
  <w:style w:type="paragraph" w:customStyle="1" w:styleId="CopyrightText">
    <w:name w:val="Copyright Text"/>
    <w:basedOn w:val="BodyText"/>
    <w:rsid w:val="005F4B35"/>
    <w:rPr>
      <w:sz w:val="18"/>
    </w:rPr>
  </w:style>
  <w:style w:type="paragraph" w:customStyle="1" w:styleId="BodySmallRight">
    <w:name w:val="Body Small Right"/>
    <w:basedOn w:val="BodyTextRight"/>
    <w:rsid w:val="005F4B35"/>
    <w:rPr>
      <w:sz w:val="18"/>
      <w:szCs w:val="18"/>
    </w:rPr>
  </w:style>
  <w:style w:type="paragraph" w:customStyle="1" w:styleId="MarginEdition">
    <w:name w:val="Margin Edition"/>
    <w:basedOn w:val="MarginNote"/>
    <w:rsid w:val="005F4B35"/>
    <w:pPr>
      <w:spacing w:before="0" w:after="0"/>
    </w:pPr>
    <w:rPr>
      <w:rFonts w:ascii="Times New Roman" w:hAnsi="Times New Roman"/>
      <w:color w:val="999999"/>
    </w:rPr>
  </w:style>
  <w:style w:type="paragraph" w:customStyle="1" w:styleId="Spacer">
    <w:name w:val="Spacer"/>
    <w:basedOn w:val="Normal"/>
    <w:rsid w:val="005F4B35"/>
    <w:rPr>
      <w:sz w:val="2"/>
      <w:szCs w:val="2"/>
    </w:rPr>
  </w:style>
  <w:style w:type="character" w:customStyle="1" w:styleId="Small">
    <w:name w:val="Small"/>
    <w:basedOn w:val="DefaultParagraphFont"/>
    <w:rsid w:val="005F4B35"/>
    <w:rPr>
      <w:sz w:val="16"/>
    </w:rPr>
  </w:style>
  <w:style w:type="paragraph" w:customStyle="1" w:styleId="WideTable">
    <w:name w:val="Wide Table"/>
    <w:basedOn w:val="Normal"/>
    <w:rsid w:val="005F4B35"/>
    <w:pPr>
      <w:ind w:left="-1418"/>
    </w:pPr>
    <w:rPr>
      <w:sz w:val="2"/>
      <w:szCs w:val="2"/>
    </w:rPr>
  </w:style>
  <w:style w:type="character" w:styleId="PageNumber">
    <w:name w:val="page number"/>
    <w:basedOn w:val="DefaultParagraphFont"/>
    <w:rsid w:val="005F4B35"/>
  </w:style>
  <w:style w:type="paragraph" w:styleId="Quote">
    <w:name w:val="Quote"/>
    <w:basedOn w:val="Heading1"/>
    <w:link w:val="QuoteChar"/>
    <w:qFormat/>
    <w:rsid w:val="005F4B35"/>
    <w:rPr>
      <w:b w:val="0"/>
      <w:sz w:val="72"/>
      <w:szCs w:val="72"/>
      <w:lang w:val="en-NZ"/>
    </w:rPr>
  </w:style>
  <w:style w:type="character" w:customStyle="1" w:styleId="QuoteChar">
    <w:name w:val="Quote Char"/>
    <w:basedOn w:val="DefaultParagraphFont"/>
    <w:link w:val="Quote"/>
    <w:rsid w:val="005F4B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4B35"/>
    <w:pPr>
      <w:pageBreakBefore/>
    </w:pPr>
  </w:style>
  <w:style w:type="paragraph" w:customStyle="1" w:styleId="Border">
    <w:name w:val="Border"/>
    <w:basedOn w:val="Normal"/>
    <w:qFormat/>
    <w:rsid w:val="005F4B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4B35"/>
    <w:rPr>
      <w:b/>
      <w:bCs/>
      <w:i/>
      <w:iCs/>
      <w:color w:val="auto"/>
    </w:rPr>
  </w:style>
  <w:style w:type="paragraph" w:styleId="IntenseQuote">
    <w:name w:val="Intense Quote"/>
    <w:basedOn w:val="Normal"/>
    <w:next w:val="Normal"/>
    <w:link w:val="IntenseQuoteChar"/>
    <w:uiPriority w:val="30"/>
    <w:qFormat/>
    <w:rsid w:val="005F4B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4B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4B35"/>
    <w:rPr>
      <w:smallCaps/>
      <w:color w:val="auto"/>
      <w:u w:val="single"/>
    </w:rPr>
  </w:style>
  <w:style w:type="character" w:styleId="IntenseReference">
    <w:name w:val="Intense Reference"/>
    <w:basedOn w:val="DefaultParagraphFont"/>
    <w:uiPriority w:val="32"/>
    <w:qFormat/>
    <w:rsid w:val="005F4B35"/>
    <w:rPr>
      <w:b/>
      <w:bCs/>
      <w:smallCaps/>
      <w:color w:val="auto"/>
      <w:spacing w:val="5"/>
      <w:u w:val="single"/>
    </w:rPr>
  </w:style>
  <w:style w:type="paragraph" w:customStyle="1" w:styleId="2ColumnHeading">
    <w:name w:val="2Column Heading"/>
    <w:basedOn w:val="BodyText"/>
    <w:qFormat/>
    <w:rsid w:val="005F4B35"/>
    <w:pPr>
      <w:spacing w:after="60"/>
      <w:ind w:left="-2268"/>
    </w:pPr>
    <w:rPr>
      <w:b/>
    </w:rPr>
  </w:style>
  <w:style w:type="paragraph" w:customStyle="1" w:styleId="Heading1TOC">
    <w:name w:val="Heading1 TOC"/>
    <w:basedOn w:val="Normal"/>
    <w:qFormat/>
    <w:rsid w:val="005F4B35"/>
    <w:pPr>
      <w:spacing w:before="240" w:after="120"/>
    </w:pPr>
    <w:rPr>
      <w:rFonts w:ascii="Times New Roman" w:hAnsi="Times New Roman"/>
      <w:b/>
      <w:sz w:val="32"/>
    </w:rPr>
  </w:style>
  <w:style w:type="paragraph" w:customStyle="1" w:styleId="Heading2TOC">
    <w:name w:val="Heading2 TOC"/>
    <w:basedOn w:val="Normal"/>
    <w:qFormat/>
    <w:rsid w:val="005F4B35"/>
    <w:pPr>
      <w:spacing w:before="240" w:after="60"/>
    </w:pPr>
    <w:rPr>
      <w:rFonts w:ascii="Times New Roman" w:hAnsi="Times New Roman"/>
      <w:b/>
      <w:sz w:val="28"/>
    </w:rPr>
  </w:style>
  <w:style w:type="character" w:customStyle="1" w:styleId="Underline">
    <w:name w:val="Underline"/>
    <w:basedOn w:val="DefaultParagraphFont"/>
    <w:qFormat/>
    <w:rsid w:val="005F4B35"/>
    <w:rPr>
      <w:u w:val="single"/>
    </w:rPr>
  </w:style>
  <w:style w:type="character" w:customStyle="1" w:styleId="BoldandItalics">
    <w:name w:val="Bold and Italics"/>
    <w:qFormat/>
    <w:rsid w:val="005F4B35"/>
    <w:rPr>
      <w:b/>
      <w:i/>
      <w:u w:val="none"/>
    </w:rPr>
  </w:style>
  <w:style w:type="paragraph" w:styleId="BalloonText">
    <w:name w:val="Balloon Text"/>
    <w:basedOn w:val="Normal"/>
    <w:link w:val="BalloonTextChar"/>
    <w:rsid w:val="005F4B35"/>
    <w:rPr>
      <w:rFonts w:ascii="Tahoma" w:hAnsi="Tahoma" w:cs="Tahoma"/>
      <w:sz w:val="16"/>
      <w:szCs w:val="16"/>
    </w:rPr>
  </w:style>
  <w:style w:type="character" w:customStyle="1" w:styleId="BalloonTextChar">
    <w:name w:val="Balloon Text Char"/>
    <w:basedOn w:val="DefaultParagraphFont"/>
    <w:link w:val="BalloonText"/>
    <w:rsid w:val="005F4B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4B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4B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4B35"/>
    <w:rPr>
      <w:b/>
      <w:color w:val="660033"/>
      <w:spacing w:val="0"/>
    </w:rPr>
  </w:style>
  <w:style w:type="paragraph" w:customStyle="1" w:styleId="Nameditemlist">
    <w:name w:val="Named item list"/>
    <w:basedOn w:val="BodyText"/>
    <w:qFormat/>
    <w:rsid w:val="005F4B35"/>
    <w:pPr>
      <w:tabs>
        <w:tab w:val="left" w:pos="2835"/>
      </w:tabs>
      <w:ind w:left="2835" w:hanging="2835"/>
    </w:pPr>
  </w:style>
  <w:style w:type="paragraph" w:customStyle="1" w:styleId="BodyTextnopadding">
    <w:name w:val="Body Text no padding"/>
    <w:basedOn w:val="BodyText"/>
    <w:qFormat/>
    <w:rsid w:val="005F4B35"/>
    <w:pPr>
      <w:spacing w:before="0" w:after="0"/>
    </w:pPr>
  </w:style>
  <w:style w:type="paragraph" w:customStyle="1" w:styleId="BodyTextBold">
    <w:name w:val="Body Text Bold"/>
    <w:basedOn w:val="BodyText"/>
    <w:qFormat/>
    <w:rsid w:val="005F4B35"/>
    <w:rPr>
      <w:b/>
    </w:rPr>
  </w:style>
  <w:style w:type="character" w:styleId="Hyperlink">
    <w:name w:val="Hyperlink"/>
    <w:basedOn w:val="DefaultParagraphFont"/>
    <w:uiPriority w:val="99"/>
    <w:unhideWhenUsed/>
    <w:rsid w:val="00C865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1086</Words>
  <Characters>6239</Characters>
  <Application>Microsoft Office Word</Application>
  <DocSecurity>0</DocSecurity>
  <Lines>311</Lines>
  <Paragraphs>281</Paragraphs>
  <ScaleCrop>false</ScaleCrop>
  <Company>Author-it Software Corporation Ltd.</Company>
  <LinksUpToDate>false</LinksUpToDate>
  <CharactersWithSpaces>7044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MEM31019 Certificate III in Watch and Clock Service and Repair</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2022-12-20T11:14:39Z</dcterms:created>
  <dcterms:modified xsi:type="dcterms:W3CDTF">2022-12-17T01:12:00Z</dcterms:modified>
</cp:coreProperties>
</file>