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73F" w:rsidP="002607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MEM30032 Produce basic engineering drawings</w:t>
      </w:r>
      <w:r>
        <w:fldChar w:fldCharType="end"/>
      </w:r>
    </w:p>
    <w:p w:rsidR="0026073F" w:rsidP="0026073F">
      <w:pPr>
        <w:pStyle w:val="Version"/>
        <w:sectPr w:rsidSect="00621F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FC0" w:rsidP="00621FC0">
      <w:pPr>
        <w:pStyle w:val="SuperHeading"/>
      </w:pPr>
      <w:r w:rsidRPr="00621FC0">
        <w:t>MEM30032 Produce basic engineering drawings</w:t>
      </w:r>
    </w:p>
    <w:p w:rsidR="00000000" w:rsidRPr="00621FC0" w:rsidP="00621FC0">
      <w:pPr>
        <w:pStyle w:val="Heading1"/>
      </w:pPr>
      <w:bookmarkStart w:id="1" w:name="O_946038"/>
      <w:bookmarkEnd w:id="1"/>
      <w:r w:rsidRPr="00621FC0">
        <w:t>Modification History</w:t>
      </w:r>
    </w:p>
    <w:p w:rsidR="00000000" w:rsidRPr="00621FC0" w:rsidP="0026073F">
      <w:pPr>
        <w:pStyle w:val="BodyText"/>
      </w:pPr>
      <w:r w:rsidRPr="00621FC0">
        <w:t>Release 1. Supersedes and is equivalent to MEM30032A Produce basic engineering drawings.</w:t>
      </w:r>
    </w:p>
    <w:p w:rsidR="00000000" w:rsidRPr="00621FC0" w:rsidP="00621FC0">
      <w:pPr>
        <w:pStyle w:val="Heading1"/>
      </w:pPr>
      <w:bookmarkStart w:id="2" w:name="O_946046"/>
      <w:bookmarkEnd w:id="2"/>
      <w:r w:rsidRPr="00621FC0">
        <w:t>Application</w:t>
      </w:r>
    </w:p>
    <w:p w:rsidR="00000000" w:rsidRPr="00621FC0" w:rsidP="0026073F">
      <w:pPr>
        <w:pStyle w:val="BodyText"/>
      </w:pPr>
      <w:r w:rsidRPr="00621FC0">
        <w:t>This unit of competency defines the skills and knowledge required to produce drawings or similar graphical representa</w:t>
      </w:r>
      <w:r w:rsidRPr="00621FC0">
        <w:t>tions where the critical dimensions and associated tolerances and design specifications are predetermined.</w:t>
      </w:r>
    </w:p>
    <w:p w:rsidR="00000000" w:rsidRPr="00621FC0" w:rsidP="0026073F">
      <w:pPr>
        <w:pStyle w:val="BodyText"/>
      </w:pPr>
      <w:r w:rsidRPr="00621FC0">
        <w:t>This unit applies to any engineering discipline. The unit covers application of introductory drafting skills to select and apply drawing protocols. D</w:t>
      </w:r>
      <w:r w:rsidRPr="00621FC0">
        <w:t>rawings are completed to Australian Standard (AS) 1100.101 Technical drawing – General principles.</w:t>
      </w:r>
    </w:p>
    <w:p w:rsidR="00000000" w:rsidRPr="00621FC0" w:rsidP="0026073F">
      <w:pPr>
        <w:pStyle w:val="BodyText"/>
      </w:pPr>
      <w:r w:rsidRPr="00621FC0">
        <w:t>Manual drafting or computer-aided design (CAD) drawing equipment may be used.</w:t>
      </w:r>
    </w:p>
    <w:p w:rsidR="00000000" w:rsidRPr="00621FC0" w:rsidP="0026073F">
      <w:pPr>
        <w:pStyle w:val="BodyText"/>
      </w:pPr>
      <w:r w:rsidRPr="00621FC0">
        <w:t>When CAD skills are required, unit MEM30031 Operate computer-aided design (CAD)</w:t>
      </w:r>
      <w:r w:rsidRPr="00621FC0">
        <w:t xml:space="preserve"> system to produce basic drawing elements should also be selected.</w:t>
      </w:r>
    </w:p>
    <w:p w:rsidR="00000000" w:rsidRPr="00621FC0" w:rsidP="0026073F">
      <w:pPr>
        <w:pStyle w:val="BodyText"/>
      </w:pPr>
      <w:r w:rsidRPr="00621FC0">
        <w:t>The unit applies to engineering or related activities and is suitable for people giving technical support in manufacturing or engineering operations and those pursuing technical qualificati</w:t>
      </w:r>
      <w:r w:rsidRPr="00621FC0">
        <w:t>ons and careers at paraprofessional or technician level. All work is carried out under supervision.</w:t>
      </w:r>
    </w:p>
    <w:p w:rsidR="00000000" w:rsidRPr="00621FC0" w:rsidP="0026073F">
      <w:pPr>
        <w:pStyle w:val="BodyText"/>
      </w:pPr>
      <w:r w:rsidRPr="00621FC0">
        <w:t>No licensing, legislative or certification requirements apply to this unit at the time of publication.</w:t>
      </w:r>
    </w:p>
    <w:p w:rsidR="00000000" w:rsidRPr="00621FC0" w:rsidP="00621FC0">
      <w:pPr>
        <w:pStyle w:val="Heading1"/>
      </w:pPr>
      <w:bookmarkStart w:id="3" w:name="O_946045"/>
      <w:bookmarkEnd w:id="3"/>
      <w:r w:rsidRPr="00621FC0">
        <w:t>Pre-requisite Unit</w:t>
      </w:r>
    </w:p>
    <w:p w:rsidR="00000000" w:rsidRPr="00621FC0" w:rsidP="0026073F">
      <w:pPr>
        <w:pStyle w:val="BodyText"/>
      </w:pPr>
      <w:r w:rsidRPr="00621FC0">
        <w:t>Nil</w:t>
      </w:r>
    </w:p>
    <w:p w:rsidR="00000000" w:rsidRPr="00621FC0" w:rsidP="00621FC0">
      <w:pPr>
        <w:pStyle w:val="Heading1"/>
      </w:pPr>
      <w:bookmarkStart w:id="4" w:name="O_946044"/>
      <w:bookmarkEnd w:id="4"/>
      <w:r w:rsidRPr="00621FC0">
        <w:t>Competency Field</w:t>
      </w:r>
    </w:p>
    <w:p w:rsidR="00000000" w:rsidRPr="00621FC0" w:rsidP="0026073F">
      <w:pPr>
        <w:pStyle w:val="BodyText"/>
      </w:pPr>
      <w:r w:rsidRPr="00621FC0">
        <w:t>Drawing, drafting and design</w:t>
      </w:r>
    </w:p>
    <w:p w:rsidR="00000000" w:rsidRPr="00621FC0" w:rsidP="00621FC0">
      <w:pPr>
        <w:pStyle w:val="Heading1"/>
      </w:pPr>
      <w:bookmarkStart w:id="5" w:name="O_946042"/>
      <w:bookmarkEnd w:id="5"/>
      <w:r w:rsidRPr="00621FC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607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C0" w:rsidP="00621FC0">
            <w:pPr>
              <w:pStyle w:val="BodyText"/>
            </w:pPr>
            <w:r w:rsidRPr="00621FC0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rPr>
                <w:rStyle w:val="SpecialBold"/>
              </w:rPr>
              <w:t>Performance Criteria</w:t>
            </w:r>
          </w:p>
        </w:tc>
      </w:tr>
      <w:tr w:rsidTr="002607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C0" w:rsidP="00621FC0">
            <w:pPr>
              <w:pStyle w:val="BodyText"/>
            </w:pPr>
            <w:r w:rsidRPr="00621FC0">
              <w:rPr>
                <w:rStyle w:val="Emphasis"/>
              </w:rPr>
              <w:t xml:space="preserve">Elements describe the </w:t>
            </w:r>
            <w:r w:rsidRPr="00621FC0">
              <w:t xml:space="preserve">essential </w:t>
            </w:r>
            <w:r w:rsidRPr="00621FC0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07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t xml:space="preserve">1. Identify drawing </w:t>
            </w:r>
            <w:r w:rsidRPr="00621FC0">
              <w:t>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C0" w:rsidP="00621FC0">
            <w:pPr>
              <w:pStyle w:val="BodyText"/>
            </w:pPr>
            <w:r w:rsidRPr="00621FC0">
              <w:t xml:space="preserve">1.1 Follow standard operating procedures (SOPs) and comply with work </w:t>
            </w:r>
            <w:r w:rsidRPr="00621FC0">
              <w:t>health and safety (WHS) requirements at all times</w:t>
            </w:r>
          </w:p>
          <w:p w:rsidR="00000000" w:rsidRPr="00621FC0" w:rsidP="00621FC0">
            <w:pPr>
              <w:pStyle w:val="BodyText"/>
            </w:pPr>
            <w:r w:rsidRPr="00621FC0">
              <w:t>1.2 Ide</w:t>
            </w:r>
            <w:r w:rsidRPr="00621FC0">
              <w:t>ntify information requirements for work and obtain all relevant job requirements and design specifications</w:t>
            </w:r>
          </w:p>
          <w:p w:rsidR="00000000" w:rsidRPr="00621FC0" w:rsidP="00621FC0">
            <w:pPr>
              <w:pStyle w:val="BodyText"/>
            </w:pPr>
            <w:r w:rsidRPr="00621FC0">
              <w:t xml:space="preserve">1.3 Identify, interpret and analyse drawing requirements from specifications </w:t>
            </w:r>
          </w:p>
          <w:p w:rsidR="00000000" w:rsidRPr="00621FC0" w:rsidP="00621FC0">
            <w:pPr>
              <w:pStyle w:val="BodyText"/>
            </w:pPr>
            <w:r w:rsidRPr="00621FC0">
              <w:t>1.4 Interpret and apply industry terminology for drawing work</w:t>
            </w:r>
          </w:p>
          <w:p w:rsidR="00000000" w:rsidRPr="00621FC0" w:rsidP="00621FC0">
            <w:pPr>
              <w:pStyle w:val="BodyText"/>
            </w:pPr>
            <w:r w:rsidRPr="00621FC0">
              <w:t>1.5 Confi</w:t>
            </w:r>
            <w:r w:rsidRPr="00621FC0">
              <w:t>rm communication practices required during drawing work</w:t>
            </w:r>
          </w:p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t>1.6 Establish time requirements for completing work</w:t>
            </w:r>
          </w:p>
        </w:tc>
      </w:tr>
      <w:tr w:rsidTr="002607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t>2. Select drawing features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C0" w:rsidP="00621FC0">
            <w:pPr>
              <w:pStyle w:val="BodyText"/>
            </w:pPr>
            <w:r w:rsidRPr="00621FC0">
              <w:t>2.1 Set up drawing list or register based on drawing requirements</w:t>
            </w:r>
          </w:p>
          <w:p w:rsidR="00000000" w:rsidRPr="00621FC0" w:rsidP="00621FC0">
            <w:pPr>
              <w:pStyle w:val="BodyText"/>
            </w:pPr>
            <w:r w:rsidRPr="00621FC0">
              <w:t>2.2 Determine level of detail and numbers of drawings required for work</w:t>
            </w:r>
          </w:p>
          <w:p w:rsidR="00000000" w:rsidRPr="00621FC0" w:rsidP="00621FC0">
            <w:pPr>
              <w:pStyle w:val="BodyText"/>
            </w:pPr>
            <w:r w:rsidRPr="00621FC0">
              <w:t>2.3 Plan presentation and layout, and determine drawing sheets and appropriate scales and text style and size</w:t>
            </w:r>
          </w:p>
          <w:p w:rsidR="00000000" w:rsidRPr="00621FC0" w:rsidP="00621FC0">
            <w:pPr>
              <w:pStyle w:val="BodyText"/>
            </w:pPr>
            <w:r w:rsidRPr="00621FC0">
              <w:t>2.4 Identify features and applications of line types and thicknesses and s</w:t>
            </w:r>
            <w:r w:rsidRPr="00621FC0">
              <w:t>elect for drawing work</w:t>
            </w:r>
          </w:p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t>2.5 Establish datums and dimensions</w:t>
            </w:r>
          </w:p>
        </w:tc>
      </w:tr>
      <w:tr w:rsidTr="002607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t>3. Prepare and detail drawings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C0" w:rsidP="00621FC0">
            <w:pPr>
              <w:pStyle w:val="BodyText"/>
            </w:pPr>
            <w:r w:rsidRPr="00621FC0">
              <w:t>3.1 Prepare drawings in plane orthogonal, isometric projection or equivalent</w:t>
            </w:r>
          </w:p>
          <w:p w:rsidR="00000000" w:rsidRPr="00621FC0" w:rsidP="00621FC0">
            <w:pPr>
              <w:pStyle w:val="BodyText"/>
            </w:pPr>
            <w:r w:rsidRPr="00621FC0">
              <w:t>3.2 Detail drawings in third angle projection, including auxiliary views, sections and a</w:t>
            </w:r>
            <w:r w:rsidRPr="00621FC0">
              <w:t>ssemblies</w:t>
            </w:r>
          </w:p>
          <w:p w:rsidR="00000000" w:rsidRPr="00621FC0" w:rsidP="00621FC0">
            <w:pPr>
              <w:pStyle w:val="BodyText"/>
            </w:pPr>
            <w:r w:rsidRPr="00621FC0">
              <w:t>3.3 Draw sections through engineering components incorporating correct use of cutting plane symbols and conventions</w:t>
            </w:r>
          </w:p>
          <w:p w:rsidR="00000000" w:rsidRPr="00621FC0" w:rsidP="00621FC0">
            <w:pPr>
              <w:pStyle w:val="BodyText"/>
            </w:pPr>
            <w:r w:rsidRPr="00621FC0">
              <w:t>3.4 Include appropriate symbols for limits and fits, surface texture and geometric tolerances</w:t>
            </w:r>
          </w:p>
          <w:p w:rsidR="00000000" w:rsidRPr="00621FC0" w:rsidP="00621FC0">
            <w:pPr>
              <w:pStyle w:val="BodyText"/>
            </w:pPr>
            <w:r w:rsidRPr="00621FC0">
              <w:t>3.5 Resolve problems in consultation</w:t>
            </w:r>
            <w:r w:rsidRPr="00621FC0">
              <w:t xml:space="preserve"> with a supervisor</w:t>
            </w:r>
          </w:p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t>3.6 Check drawing compliance with work instructions and specifications</w:t>
            </w:r>
          </w:p>
        </w:tc>
      </w:tr>
      <w:tr w:rsidTr="002607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t>4. Select physical dimensions and produce engineering parts list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C0" w:rsidP="00621FC0">
            <w:pPr>
              <w:pStyle w:val="BodyText"/>
            </w:pPr>
            <w:r w:rsidRPr="00621FC0">
              <w:t xml:space="preserve">4.1 Select components and/or materials from supplier or manufacturer catalogues using predetermined </w:t>
            </w:r>
            <w:r w:rsidRPr="00621FC0">
              <w:t>design specifications according to work requirements</w:t>
            </w:r>
          </w:p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t>4.2 Produce an engineering parts list in accordance with SOPs</w:t>
            </w:r>
          </w:p>
        </w:tc>
      </w:tr>
      <w:tr w:rsidTr="002607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t>5. Complete drawing documentation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C0" w:rsidP="00621FC0">
            <w:pPr>
              <w:pStyle w:val="BodyText"/>
            </w:pPr>
            <w:r w:rsidRPr="00621FC0">
              <w:t>5.1 Obtain approval for drawings and/or parts list</w:t>
            </w:r>
          </w:p>
          <w:p w:rsidR="00000000" w:rsidRPr="00621FC0" w:rsidP="00621FC0">
            <w:pPr>
              <w:pStyle w:val="BodyText"/>
            </w:pPr>
            <w:r w:rsidRPr="00621FC0">
              <w:t>5.2 Store approved drawings and/or parts lists</w:t>
            </w:r>
          </w:p>
          <w:p w:rsidR="00000000" w:rsidRPr="00621FC0" w:rsidP="00621FC0">
            <w:pPr>
              <w:pStyle w:val="BodyText"/>
            </w:pPr>
            <w:r w:rsidRPr="00621FC0">
              <w:t>5.3 Cata</w:t>
            </w:r>
            <w:r w:rsidRPr="00621FC0">
              <w:t>logue and issue drawing and documentation in accordance with SOPs</w:t>
            </w:r>
          </w:p>
        </w:tc>
      </w:tr>
    </w:tbl>
    <w:p w:rsidR="00000000" w:rsidRPr="00621FC0" w:rsidP="00621FC0">
      <w:pPr>
        <w:pStyle w:val="BodyText"/>
      </w:pPr>
    </w:p>
    <w:p w:rsidR="00000000" w:rsidRPr="00621FC0" w:rsidP="00621FC0">
      <w:pPr>
        <w:pStyle w:val="AllowPageBreak"/>
      </w:pPr>
    </w:p>
    <w:p w:rsidR="00000000" w:rsidRPr="00621FC0" w:rsidP="00621FC0">
      <w:pPr>
        <w:pStyle w:val="Heading1"/>
      </w:pPr>
      <w:bookmarkStart w:id="6" w:name="O_946041"/>
      <w:bookmarkEnd w:id="6"/>
      <w:r w:rsidRPr="00621FC0">
        <w:t>Foundation Skills</w:t>
      </w:r>
    </w:p>
    <w:p w:rsidR="00000000" w:rsidRPr="00621FC0" w:rsidP="0026073F">
      <w:pPr>
        <w:pStyle w:val="BodyText"/>
      </w:pPr>
      <w:r w:rsidRPr="00621FC0">
        <w:t>This section describes those language, literacy, numeracy and employment skills that are essential to performance.</w:t>
      </w:r>
    </w:p>
    <w:p w:rsidR="00000000" w:rsidRPr="00621FC0" w:rsidP="0026073F">
      <w:pPr>
        <w:pStyle w:val="BodyText"/>
      </w:pPr>
      <w:r w:rsidRPr="00621FC0">
        <w:t>Foundation skills essential to performance are explicit in the performance criteria of this unit of competency.</w:t>
      </w:r>
    </w:p>
    <w:p w:rsidR="00000000" w:rsidRPr="00621FC0" w:rsidP="00621FC0">
      <w:pPr>
        <w:pStyle w:val="Heading1"/>
      </w:pPr>
      <w:bookmarkStart w:id="7" w:name="O_946040"/>
      <w:bookmarkEnd w:id="7"/>
      <w:r w:rsidRPr="00621FC0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21F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t>This field allows for different work environments and conditions that may affect performance. Essential op</w:t>
            </w:r>
            <w:r w:rsidRPr="00621FC0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621F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t>Specifications can be obtained from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C0" w:rsidP="00621FC0">
            <w:pPr>
              <w:pStyle w:val="ListBullet"/>
            </w:pPr>
            <w:r w:rsidRPr="00621FC0">
              <w:t xml:space="preserve">design </w:t>
            </w:r>
            <w:r w:rsidRPr="00621FC0">
              <w:t>information</w:t>
            </w:r>
          </w:p>
          <w:p w:rsidR="00000000" w:rsidRPr="00621FC0" w:rsidP="00621FC0">
            <w:pPr>
              <w:pStyle w:val="ListBullet"/>
            </w:pPr>
            <w:r w:rsidRPr="00621FC0">
              <w:t>customer</w:t>
            </w:r>
          </w:p>
          <w:p w:rsidR="00000000" w:rsidRPr="00621FC0" w:rsidP="00621FC0">
            <w:pPr>
              <w:pStyle w:val="ListBullet"/>
            </w:pPr>
            <w:r w:rsidRPr="00621FC0">
              <w:t>sketches</w:t>
            </w:r>
          </w:p>
          <w:p w:rsidR="00000000" w:rsidP="00621FC0">
            <w:pPr>
              <w:pStyle w:val="ListBullet"/>
              <w:rPr>
                <w:lang w:val="en-NZ"/>
              </w:rPr>
            </w:pPr>
            <w:r w:rsidRPr="00621FC0">
              <w:t>preliminary layouts.</w:t>
            </w:r>
          </w:p>
        </w:tc>
      </w:tr>
      <w:tr w:rsidTr="00621F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t>Drawings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C0" w:rsidP="00621FC0">
            <w:pPr>
              <w:pStyle w:val="ListBullet"/>
            </w:pPr>
            <w:r w:rsidRPr="00621FC0">
              <w:t>plans</w:t>
            </w:r>
          </w:p>
          <w:p w:rsidR="00000000" w:rsidRPr="00621FC0" w:rsidP="00621FC0">
            <w:pPr>
              <w:pStyle w:val="ListBullet"/>
            </w:pPr>
            <w:r w:rsidRPr="00621FC0">
              <w:t>diagrams</w:t>
            </w:r>
          </w:p>
          <w:p w:rsidR="00000000" w:rsidP="00621FC0">
            <w:pPr>
              <w:pStyle w:val="ListBullet"/>
              <w:rPr>
                <w:lang w:val="en-NZ"/>
              </w:rPr>
            </w:pPr>
            <w:r w:rsidRPr="00621FC0">
              <w:t>charts.</w:t>
            </w:r>
          </w:p>
        </w:tc>
      </w:tr>
      <w:tr w:rsidTr="00621F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t>Consultation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C0" w:rsidP="00621FC0">
            <w:pPr>
              <w:pStyle w:val="ListBullet"/>
            </w:pPr>
            <w:r w:rsidRPr="00621FC0">
              <w:t>reference to appropriate personnel</w:t>
            </w:r>
          </w:p>
          <w:p w:rsidR="00000000" w:rsidRPr="00621FC0" w:rsidP="00621FC0">
            <w:pPr>
              <w:pStyle w:val="ListBullet"/>
            </w:pPr>
            <w:r w:rsidRPr="00621FC0">
              <w:t>including technical supervisors</w:t>
            </w:r>
          </w:p>
          <w:p w:rsidR="00000000" w:rsidRPr="00621FC0" w:rsidP="00621FC0">
            <w:pPr>
              <w:pStyle w:val="ListBullet"/>
            </w:pPr>
            <w:r w:rsidRPr="00621FC0">
              <w:t>manufacturers</w:t>
            </w:r>
          </w:p>
          <w:p w:rsidR="00000000" w:rsidRPr="00621FC0" w:rsidP="00621FC0">
            <w:pPr>
              <w:pStyle w:val="ListBullet"/>
            </w:pPr>
            <w:r w:rsidRPr="00621FC0">
              <w:t>suppliers</w:t>
            </w:r>
          </w:p>
          <w:p w:rsidR="00000000" w:rsidRPr="00621FC0" w:rsidP="00621FC0">
            <w:pPr>
              <w:pStyle w:val="ListBullet"/>
            </w:pPr>
            <w:r w:rsidRPr="00621FC0">
              <w:t>contractors</w:t>
            </w:r>
          </w:p>
          <w:p w:rsidR="00000000" w:rsidP="00621FC0">
            <w:pPr>
              <w:pStyle w:val="ListBullet"/>
              <w:rPr>
                <w:lang w:val="en-NZ"/>
              </w:rPr>
            </w:pPr>
            <w:r w:rsidRPr="00621FC0">
              <w:t>customers.</w:t>
            </w:r>
          </w:p>
        </w:tc>
      </w:tr>
      <w:tr w:rsidTr="00621F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t>Engineering parts list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C0" w:rsidP="00621FC0">
            <w:pPr>
              <w:pStyle w:val="ListBullet"/>
            </w:pPr>
            <w:r w:rsidRPr="00621FC0">
              <w:t>part name</w:t>
            </w:r>
          </w:p>
          <w:p w:rsidR="00000000" w:rsidRPr="00621FC0" w:rsidP="00621FC0">
            <w:pPr>
              <w:pStyle w:val="ListBullet"/>
            </w:pPr>
            <w:r w:rsidRPr="00621FC0">
              <w:t>description of part</w:t>
            </w:r>
          </w:p>
          <w:p w:rsidR="00000000" w:rsidRPr="00621FC0" w:rsidP="00621FC0">
            <w:pPr>
              <w:pStyle w:val="ListBullet"/>
            </w:pPr>
            <w:r w:rsidRPr="00621FC0">
              <w:t>material specification or part number</w:t>
            </w:r>
          </w:p>
          <w:p w:rsidR="00000000" w:rsidP="00621FC0">
            <w:pPr>
              <w:pStyle w:val="ListBullet"/>
              <w:rPr>
                <w:lang w:val="en-NZ"/>
              </w:rPr>
            </w:pPr>
            <w:r w:rsidRPr="00621FC0">
              <w:t>quantities.</w:t>
            </w:r>
          </w:p>
        </w:tc>
      </w:tr>
      <w:tr w:rsidTr="00621F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C0">
            <w:pPr>
              <w:pStyle w:val="BodyText"/>
              <w:rPr>
                <w:lang w:val="en-NZ"/>
              </w:rPr>
            </w:pPr>
            <w:r w:rsidRPr="00621FC0">
              <w:t>Issued drawings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C0" w:rsidP="00621FC0">
            <w:pPr>
              <w:pStyle w:val="ListBullet"/>
            </w:pPr>
            <w:r w:rsidRPr="00621FC0">
              <w:t>hard copy</w:t>
            </w:r>
          </w:p>
          <w:p w:rsidR="00000000" w:rsidRPr="00621FC0" w:rsidP="00621FC0">
            <w:pPr>
              <w:pStyle w:val="ListBullet"/>
            </w:pPr>
            <w:r w:rsidRPr="00621FC0">
              <w:t>photographic, slide or transparency form, including presentation as a single drawing and/or with other drawings</w:t>
            </w:r>
          </w:p>
          <w:p w:rsidR="00000000" w:rsidRPr="00621FC0" w:rsidP="00621FC0">
            <w:pPr>
              <w:pStyle w:val="ListBullet"/>
            </w:pPr>
            <w:r w:rsidRPr="00621FC0">
              <w:t>support documentation as a package.</w:t>
            </w:r>
          </w:p>
        </w:tc>
      </w:tr>
    </w:tbl>
    <w:p w:rsidR="00000000" w:rsidRPr="00621FC0" w:rsidP="00621FC0">
      <w:pPr>
        <w:pStyle w:val="BodyText"/>
      </w:pPr>
    </w:p>
    <w:p w:rsidR="00000000" w:rsidRPr="00621FC0" w:rsidP="00621FC0">
      <w:pPr>
        <w:pStyle w:val="AllowPageBreak"/>
      </w:pPr>
    </w:p>
    <w:p w:rsidR="00000000" w:rsidRPr="00621FC0" w:rsidP="00621FC0">
      <w:pPr>
        <w:pStyle w:val="Heading1"/>
      </w:pPr>
      <w:bookmarkStart w:id="8" w:name="O_946039"/>
      <w:bookmarkEnd w:id="8"/>
      <w:r w:rsidRPr="00621FC0">
        <w:t>Unit Mapping Information</w:t>
      </w:r>
    </w:p>
    <w:p w:rsidR="00000000" w:rsidRPr="00621FC0" w:rsidP="0026073F">
      <w:pPr>
        <w:pStyle w:val="BodyText"/>
      </w:pPr>
      <w:r w:rsidRPr="00621FC0">
        <w:t>Release 1. Supersedes and is equivalent to MEM30032A Produce basic engineering drawings.</w:t>
      </w:r>
    </w:p>
    <w:p w:rsidR="00000000" w:rsidRPr="00621FC0" w:rsidP="00621FC0">
      <w:pPr>
        <w:pStyle w:val="Heading1"/>
      </w:pPr>
      <w:bookmarkStart w:id="9" w:name="O_946032"/>
      <w:bookmarkEnd w:id="9"/>
      <w:r w:rsidRPr="00621FC0">
        <w:t>Links</w:t>
      </w:r>
    </w:p>
    <w:p w:rsidR="00000000" w:rsidRPr="00621FC0" w:rsidP="0026073F">
      <w:pPr>
        <w:pStyle w:val="BodyText"/>
      </w:pPr>
      <w:r w:rsidRPr="00621F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725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21FC0" w:rsidP="00621FC0"/>
    <w:sectPr w:rsidSect="00621F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C0" w:rsidRPr="0026073F" w:rsidP="002607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3F" w:rsidP="00621F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073F" w:rsidP="00621F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6073F" w:rsidP="00621F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FC0" w:rsidRPr="0026073F" w:rsidP="002607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3F" w:rsidRPr="002D2AF8" w:rsidP="00621F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MEM30032 Produce basic engineering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6073F" w:rsidP="00621F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BA8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16D7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F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F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F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F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F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F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F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F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F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F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F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FC0"/>
  </w:style>
  <w:style w:type="character" w:customStyle="1" w:styleId="Heading1Char">
    <w:name w:val="Heading 1 Char"/>
    <w:basedOn w:val="DefaultParagraphFont"/>
    <w:link w:val="Heading1"/>
    <w:rsid w:val="00621F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F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F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F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FC0"/>
    <w:rPr>
      <w:b/>
      <w:spacing w:val="0"/>
    </w:rPr>
  </w:style>
  <w:style w:type="character" w:styleId="Emphasis">
    <w:name w:val="Emphasis"/>
    <w:basedOn w:val="DefaultParagraphFont"/>
    <w:qFormat/>
    <w:rsid w:val="00621FC0"/>
    <w:rPr>
      <w:i/>
    </w:rPr>
  </w:style>
  <w:style w:type="paragraph" w:customStyle="1" w:styleId="SuperHeading">
    <w:name w:val="SuperHeading"/>
    <w:basedOn w:val="Normal"/>
    <w:rsid w:val="00621F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F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F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F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F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F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F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F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F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F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F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F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F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F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F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F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F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F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F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F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F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F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F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F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F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F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F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F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F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F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F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F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F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F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FC0"/>
  </w:style>
  <w:style w:type="paragraph" w:styleId="TableofFigures">
    <w:name w:val="table of figures"/>
    <w:basedOn w:val="Normal"/>
    <w:next w:val="Normal"/>
    <w:semiHidden/>
    <w:rsid w:val="00621F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F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1FC0"/>
    <w:rPr>
      <w:rFonts w:ascii="Wingdings" w:hAnsi="Wingdings"/>
    </w:rPr>
  </w:style>
  <w:style w:type="paragraph" w:customStyle="1" w:styleId="TableHeading">
    <w:name w:val="Table Heading"/>
    <w:basedOn w:val="HeadingBase"/>
    <w:rsid w:val="00621F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FC0"/>
    <w:rPr>
      <w:color w:val="0033CC"/>
      <w:u w:val="none"/>
    </w:rPr>
  </w:style>
  <w:style w:type="paragraph" w:customStyle="1" w:styleId="BodyTextRight">
    <w:name w:val="Body Text Right"/>
    <w:basedOn w:val="BodyText"/>
    <w:rsid w:val="00621F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F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F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F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F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F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FC0"/>
    <w:rPr>
      <w:sz w:val="32"/>
    </w:rPr>
  </w:style>
  <w:style w:type="paragraph" w:customStyle="1" w:styleId="HeadingProcedure">
    <w:name w:val="Heading Procedure"/>
    <w:basedOn w:val="HeadingBase"/>
    <w:next w:val="Normal"/>
    <w:rsid w:val="00621F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FC0"/>
    <w:pPr>
      <w:spacing w:before="60" w:after="60"/>
    </w:pPr>
  </w:style>
  <w:style w:type="paragraph" w:styleId="ListContinue">
    <w:name w:val="List Continue"/>
    <w:basedOn w:val="List"/>
    <w:rsid w:val="00621FC0"/>
    <w:pPr>
      <w:ind w:firstLine="0"/>
    </w:pPr>
  </w:style>
  <w:style w:type="paragraph" w:customStyle="1" w:styleId="ListNote">
    <w:name w:val="List Note"/>
    <w:basedOn w:val="List"/>
    <w:rsid w:val="00621F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F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F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FC0"/>
    <w:rPr>
      <w:rFonts w:ascii="Courier New" w:hAnsi="Courier New"/>
    </w:rPr>
  </w:style>
  <w:style w:type="paragraph" w:customStyle="1" w:styleId="NoteBullet">
    <w:name w:val="Note Bullet"/>
    <w:basedOn w:val="Note"/>
    <w:rsid w:val="00621F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F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F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F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F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1F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F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FC0"/>
    <w:rPr>
      <w:b/>
      <w:smallCaps/>
    </w:rPr>
  </w:style>
  <w:style w:type="paragraph" w:customStyle="1" w:styleId="TableListNumber">
    <w:name w:val="Table List Number"/>
    <w:basedOn w:val="ListNumber"/>
    <w:rsid w:val="00621F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F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FC0"/>
    <w:pPr>
      <w:numPr>
        <w:numId w:val="8"/>
      </w:numPr>
    </w:pPr>
  </w:style>
  <w:style w:type="paragraph" w:customStyle="1" w:styleId="ListAlpha2">
    <w:name w:val="List Alpha 2"/>
    <w:basedOn w:val="List2"/>
    <w:rsid w:val="00621FC0"/>
    <w:pPr>
      <w:numPr>
        <w:numId w:val="7"/>
      </w:numPr>
    </w:pPr>
  </w:style>
  <w:style w:type="paragraph" w:styleId="List2">
    <w:name w:val="List 2"/>
    <w:basedOn w:val="BodyText"/>
    <w:rsid w:val="00621F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F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F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F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F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F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1FC0"/>
    <w:pPr>
      <w:numPr>
        <w:numId w:val="3"/>
      </w:numPr>
    </w:pPr>
  </w:style>
  <w:style w:type="paragraph" w:styleId="ListContinue2">
    <w:name w:val="List Continue 2"/>
    <w:basedOn w:val="List2"/>
    <w:rsid w:val="00621FC0"/>
    <w:pPr>
      <w:ind w:firstLine="0"/>
    </w:pPr>
  </w:style>
  <w:style w:type="paragraph" w:styleId="ListContinue3">
    <w:name w:val="List Continue 3"/>
    <w:basedOn w:val="List3"/>
    <w:rsid w:val="00621FC0"/>
    <w:pPr>
      <w:ind w:left="1021" w:firstLine="0"/>
    </w:pPr>
  </w:style>
  <w:style w:type="paragraph" w:styleId="ListContinue4">
    <w:name w:val="List Continue 4"/>
    <w:basedOn w:val="List4"/>
    <w:rsid w:val="00621FC0"/>
    <w:pPr>
      <w:ind w:firstLine="0"/>
    </w:pPr>
  </w:style>
  <w:style w:type="paragraph" w:styleId="ListContinue5">
    <w:name w:val="List Continue 5"/>
    <w:basedOn w:val="List5"/>
    <w:rsid w:val="00621FC0"/>
    <w:pPr>
      <w:ind w:firstLine="0"/>
    </w:pPr>
  </w:style>
  <w:style w:type="paragraph" w:styleId="ListNumber3">
    <w:name w:val="List Number 3"/>
    <w:basedOn w:val="List3"/>
    <w:rsid w:val="00621FC0"/>
    <w:pPr>
      <w:numPr>
        <w:numId w:val="4"/>
      </w:numPr>
    </w:pPr>
  </w:style>
  <w:style w:type="paragraph" w:styleId="ListNumber4">
    <w:name w:val="List Number 4"/>
    <w:basedOn w:val="List4"/>
    <w:rsid w:val="00621FC0"/>
    <w:pPr>
      <w:numPr>
        <w:numId w:val="5"/>
      </w:numPr>
    </w:pPr>
  </w:style>
  <w:style w:type="paragraph" w:styleId="ListNumber5">
    <w:name w:val="List Number 5"/>
    <w:basedOn w:val="List5"/>
    <w:rsid w:val="00621FC0"/>
    <w:pPr>
      <w:numPr>
        <w:numId w:val="6"/>
      </w:numPr>
    </w:pPr>
  </w:style>
  <w:style w:type="paragraph" w:styleId="BlockText">
    <w:name w:val="Block Text"/>
    <w:basedOn w:val="Normal"/>
    <w:rsid w:val="00621F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F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FC0"/>
    <w:rPr>
      <w:sz w:val="16"/>
      <w:vertAlign w:val="superscript"/>
    </w:rPr>
  </w:style>
  <w:style w:type="character" w:customStyle="1" w:styleId="Symbols">
    <w:name w:val="Symbols"/>
    <w:basedOn w:val="DefaultParagraphFont"/>
    <w:rsid w:val="00621FC0"/>
    <w:rPr>
      <w:rFonts w:ascii="Symbol" w:hAnsi="Symbol"/>
    </w:rPr>
  </w:style>
  <w:style w:type="character" w:customStyle="1" w:styleId="MenuOptions">
    <w:name w:val="Menu Options"/>
    <w:basedOn w:val="DefaultParagraphFont"/>
    <w:rsid w:val="00621F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FC0"/>
    <w:rPr>
      <w:b/>
    </w:rPr>
  </w:style>
  <w:style w:type="character" w:customStyle="1" w:styleId="Underlined">
    <w:name w:val="Underlined"/>
    <w:basedOn w:val="DefaultParagraphFont"/>
    <w:rsid w:val="00621FC0"/>
    <w:rPr>
      <w:u w:val="single"/>
    </w:rPr>
  </w:style>
  <w:style w:type="paragraph" w:customStyle="1" w:styleId="TableBodyTextRight">
    <w:name w:val="Table Body Text Right"/>
    <w:basedOn w:val="TableBodyText"/>
    <w:rsid w:val="00621F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FC0"/>
    <w:rPr>
      <w:sz w:val="18"/>
    </w:rPr>
  </w:style>
  <w:style w:type="paragraph" w:customStyle="1" w:styleId="BodySmallRight">
    <w:name w:val="Body Small Right"/>
    <w:basedOn w:val="BodyTextRight"/>
    <w:rsid w:val="00621FC0"/>
    <w:rPr>
      <w:sz w:val="18"/>
      <w:szCs w:val="18"/>
    </w:rPr>
  </w:style>
  <w:style w:type="paragraph" w:customStyle="1" w:styleId="MarginEdition">
    <w:name w:val="Margin Edition"/>
    <w:basedOn w:val="MarginNote"/>
    <w:rsid w:val="00621F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FC0"/>
    <w:rPr>
      <w:sz w:val="2"/>
      <w:szCs w:val="2"/>
    </w:rPr>
  </w:style>
  <w:style w:type="character" w:customStyle="1" w:styleId="Small">
    <w:name w:val="Small"/>
    <w:basedOn w:val="DefaultParagraphFont"/>
    <w:rsid w:val="00621FC0"/>
    <w:rPr>
      <w:sz w:val="16"/>
    </w:rPr>
  </w:style>
  <w:style w:type="paragraph" w:customStyle="1" w:styleId="WideTable">
    <w:name w:val="Wide Table"/>
    <w:basedOn w:val="Normal"/>
    <w:rsid w:val="00621F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FC0"/>
  </w:style>
  <w:style w:type="paragraph" w:styleId="Quote">
    <w:name w:val="Quote"/>
    <w:basedOn w:val="Heading1"/>
    <w:link w:val="QuoteChar"/>
    <w:qFormat/>
    <w:rsid w:val="00621F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F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FC0"/>
    <w:pPr>
      <w:pageBreakBefore/>
    </w:pPr>
  </w:style>
  <w:style w:type="paragraph" w:customStyle="1" w:styleId="Border">
    <w:name w:val="Border"/>
    <w:basedOn w:val="Normal"/>
    <w:qFormat/>
    <w:rsid w:val="00621F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F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F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F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F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F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F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F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F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FC0"/>
    <w:rPr>
      <w:u w:val="single"/>
    </w:rPr>
  </w:style>
  <w:style w:type="character" w:customStyle="1" w:styleId="BoldandItalics">
    <w:name w:val="Bold and Italics"/>
    <w:qFormat/>
    <w:rsid w:val="00621FC0"/>
    <w:rPr>
      <w:b/>
      <w:i/>
      <w:u w:val="none"/>
    </w:rPr>
  </w:style>
  <w:style w:type="paragraph" w:styleId="BalloonText">
    <w:name w:val="Balloon Text"/>
    <w:basedOn w:val="Normal"/>
    <w:link w:val="BalloonTextChar"/>
    <w:rsid w:val="00621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F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F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F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F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F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FC0"/>
    <w:pPr>
      <w:spacing w:before="0" w:after="0"/>
    </w:pPr>
  </w:style>
  <w:style w:type="paragraph" w:customStyle="1" w:styleId="BodyTextBold">
    <w:name w:val="Body Text Bold"/>
    <w:basedOn w:val="BodyText"/>
    <w:qFormat/>
    <w:rsid w:val="00621FC0"/>
    <w:rPr>
      <w:b/>
    </w:rPr>
  </w:style>
  <w:style w:type="character" w:styleId="Hyperlink">
    <w:name w:val="Hyperlink"/>
    <w:basedOn w:val="DefaultParagraphFont"/>
    <w:uiPriority w:val="99"/>
    <w:unhideWhenUsed/>
    <w:rsid w:val="002607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4550</Characters>
  <Application>Microsoft Office Word</Application>
  <DocSecurity>0</DocSecurity>
  <Lines>146</Lines>
  <Paragraphs>97</Paragraphs>
  <ScaleCrop>false</ScaleCrop>
  <Company>Author-it Software Corporation Ltd.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MEM30032 Produce basic engineering drawings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2024-09-27T00:14:00Z</dcterms:created>
  <dcterms:modified xsi:type="dcterms:W3CDTF">2024-09-27T00:14:00Z</dcterms:modified>
</cp:coreProperties>
</file>