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0C6" w:rsidP="009400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MEM30016 Assist in the analysis of a supply chain</w:t>
      </w:r>
      <w:r>
        <w:fldChar w:fldCharType="end"/>
      </w:r>
    </w:p>
    <w:p w:rsidR="009400C6" w:rsidP="009400C6">
      <w:pPr>
        <w:pStyle w:val="Version"/>
        <w:sectPr w:rsidSect="00C96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838" w:rsidP="00C96838">
      <w:pPr>
        <w:pStyle w:val="SuperHeading"/>
      </w:pPr>
      <w:r w:rsidRPr="00C96838">
        <w:t>MEM30016 Assist in the analysis of a supply chain</w:t>
      </w:r>
    </w:p>
    <w:p w:rsidR="00000000" w:rsidRPr="00C96838" w:rsidP="00C96838">
      <w:pPr>
        <w:pStyle w:val="Heading1"/>
      </w:pPr>
      <w:bookmarkStart w:id="1" w:name="O_945867"/>
      <w:bookmarkEnd w:id="1"/>
      <w:r w:rsidRPr="00C96838">
        <w:t>Modification History</w:t>
      </w:r>
    </w:p>
    <w:p w:rsidR="00000000" w:rsidRPr="00C96838" w:rsidP="009400C6">
      <w:pPr>
        <w:pStyle w:val="BodyText"/>
      </w:pPr>
      <w:r w:rsidRPr="00C96838">
        <w:t>Release 1. Supersedes and is equivalent to MEM30016A Assist in the analysis of a supply chain.</w:t>
      </w:r>
    </w:p>
    <w:p w:rsidR="00000000" w:rsidRPr="00C96838" w:rsidP="00C96838">
      <w:pPr>
        <w:pStyle w:val="Heading1"/>
      </w:pPr>
      <w:bookmarkStart w:id="2" w:name="O_945875"/>
      <w:bookmarkEnd w:id="2"/>
      <w:r w:rsidRPr="00C96838">
        <w:t>Application</w:t>
      </w:r>
    </w:p>
    <w:p w:rsidR="00000000" w:rsidRPr="00C96838" w:rsidP="009400C6">
      <w:pPr>
        <w:pStyle w:val="BodyText"/>
      </w:pPr>
      <w:r w:rsidRPr="00C96838">
        <w:t>This unit of competency defines the skills and knowledge required to assist in the analysis of value ad</w:t>
      </w:r>
      <w:r w:rsidRPr="00C96838">
        <w:t xml:space="preserve">ding and non-value adding activities within the supply chain, including assisting in mapping the supply stream for a nominated product/process and assisting in assessing the value added at each step. The supply stream encompasses raw materials, processing </w:t>
      </w:r>
      <w:r w:rsidRPr="00C96838">
        <w:t>and all tiers of the supply chain.</w:t>
      </w:r>
    </w:p>
    <w:p w:rsidR="00000000" w:rsidRPr="00C96838" w:rsidP="009400C6">
      <w:pPr>
        <w:pStyle w:val="BodyText"/>
      </w:pPr>
      <w:r w:rsidRPr="00C96838">
        <w:t>The unit applies to engineering or related activities and is suitable for people giving technical support in manufacturing or engineering operations and those pursuing technical qualifications and careers at paraprofessio</w:t>
      </w:r>
      <w:r w:rsidRPr="00C96838">
        <w:t>nal or technician level. All work is carried out under supervision.</w:t>
      </w:r>
    </w:p>
    <w:p w:rsidR="00000000" w:rsidRPr="00C96838" w:rsidP="009400C6">
      <w:pPr>
        <w:pStyle w:val="BodyText"/>
      </w:pPr>
      <w:r w:rsidRPr="00C96838">
        <w:t>No licensing, legislative or certification requirements apply to this unit at the time of publication.</w:t>
      </w:r>
    </w:p>
    <w:p w:rsidR="00000000" w:rsidRPr="00C96838" w:rsidP="00C96838">
      <w:pPr>
        <w:pStyle w:val="Heading1"/>
      </w:pPr>
      <w:bookmarkStart w:id="3" w:name="O_945874"/>
      <w:bookmarkEnd w:id="3"/>
      <w:r w:rsidRPr="00C96838">
        <w:t>Pre-requisite Unit</w:t>
      </w:r>
    </w:p>
    <w:p w:rsidR="00000000" w:rsidRPr="00C96838" w:rsidP="009400C6">
      <w:pPr>
        <w:pStyle w:val="BodyText"/>
      </w:pPr>
      <w:r w:rsidRPr="00C96838">
        <w:t>Nil</w:t>
      </w:r>
    </w:p>
    <w:p w:rsidR="00000000" w:rsidRPr="00C96838" w:rsidP="00C96838">
      <w:pPr>
        <w:pStyle w:val="Heading1"/>
      </w:pPr>
      <w:bookmarkStart w:id="4" w:name="O_945873"/>
      <w:bookmarkEnd w:id="4"/>
      <w:r w:rsidRPr="00C96838">
        <w:t>Competency Field</w:t>
      </w:r>
    </w:p>
    <w:p w:rsidR="00000000" w:rsidRPr="00C96838" w:rsidP="009400C6">
      <w:pPr>
        <w:pStyle w:val="BodyText"/>
      </w:pPr>
      <w:r w:rsidRPr="00C96838">
        <w:t>Engineering</w:t>
      </w:r>
      <w:r w:rsidRPr="00C96838">
        <w:t xml:space="preserve"> technician</w:t>
      </w:r>
    </w:p>
    <w:p w:rsidR="00000000" w:rsidRPr="00C96838" w:rsidP="00C96838">
      <w:pPr>
        <w:pStyle w:val="Heading1"/>
      </w:pPr>
      <w:bookmarkStart w:id="5" w:name="O_945871"/>
      <w:bookmarkEnd w:id="5"/>
      <w:r w:rsidRPr="00C9683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400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38" w:rsidP="00C96838">
            <w:pPr>
              <w:pStyle w:val="BodyText"/>
            </w:pPr>
            <w:r w:rsidRPr="00C9683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38">
            <w:pPr>
              <w:pStyle w:val="BodyText"/>
              <w:rPr>
                <w:lang w:val="en-NZ"/>
              </w:rPr>
            </w:pPr>
            <w:r w:rsidRPr="00C96838">
              <w:rPr>
                <w:rStyle w:val="SpecialBold"/>
              </w:rPr>
              <w:t>Performance Criteria</w:t>
            </w:r>
          </w:p>
        </w:tc>
      </w:tr>
      <w:tr w:rsidTr="009400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38" w:rsidP="00C96838">
            <w:pPr>
              <w:pStyle w:val="BodyText"/>
            </w:pPr>
            <w:r w:rsidRPr="00C96838">
              <w:rPr>
                <w:rStyle w:val="Emphasis"/>
              </w:rPr>
              <w:t xml:space="preserve">Elements describe the </w:t>
            </w:r>
            <w:r w:rsidRPr="00C96838">
              <w:t xml:space="preserve">essential </w:t>
            </w:r>
            <w:r w:rsidRPr="00C9683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38">
            <w:pPr>
              <w:pStyle w:val="BodyText"/>
              <w:rPr>
                <w:lang w:val="en-NZ"/>
              </w:rPr>
            </w:pPr>
            <w:r w:rsidRPr="00C968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00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38">
            <w:pPr>
              <w:pStyle w:val="BodyText"/>
              <w:rPr>
                <w:lang w:val="en-NZ"/>
              </w:rPr>
            </w:pPr>
            <w:r w:rsidRPr="00C96838">
              <w:t>1. Assist in mapping the supply stream for product or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38" w:rsidP="00C96838">
            <w:pPr>
              <w:pStyle w:val="BodyText"/>
            </w:pPr>
            <w:r w:rsidRPr="00C96838">
              <w:t>1.1. Follow standard operating procedures (SOPs) and comply with work health and safety (WHS) requirements at all times</w:t>
            </w:r>
          </w:p>
          <w:p w:rsidR="00000000" w:rsidRPr="00C96838" w:rsidP="00C96838">
            <w:pPr>
              <w:pStyle w:val="BodyText"/>
            </w:pPr>
            <w:r w:rsidRPr="00C96838">
              <w:t xml:space="preserve">1.2. Identify all organisations in the supply stream including the entire </w:t>
            </w:r>
            <w:r w:rsidRPr="00C96838">
              <w:t>supply system, beginning with the raw materials, processing and all tiers of the supply chain</w:t>
            </w:r>
          </w:p>
          <w:p w:rsidR="00000000" w:rsidP="00C96838">
            <w:pPr>
              <w:pStyle w:val="BodyText"/>
              <w:rPr>
                <w:lang w:val="en-NZ"/>
              </w:rPr>
            </w:pPr>
            <w:r w:rsidRPr="00C96838">
              <w:t>1.3. Identify all relevant steps in own organisation</w:t>
            </w:r>
          </w:p>
        </w:tc>
      </w:tr>
      <w:tr w:rsidTr="009400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38">
            <w:pPr>
              <w:pStyle w:val="BodyText"/>
              <w:rPr>
                <w:lang w:val="en-NZ"/>
              </w:rPr>
            </w:pPr>
            <w:r w:rsidRPr="00C96838">
              <w:t>2. Assist in assessing the value added at each step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38" w:rsidP="00C96838">
            <w:pPr>
              <w:pStyle w:val="BodyText"/>
            </w:pPr>
            <w:r w:rsidRPr="00C96838">
              <w:t>2.1. Identify value added and contributed by each suppli</w:t>
            </w:r>
            <w:r w:rsidRPr="00C96838">
              <w:t>er organisation</w:t>
            </w:r>
          </w:p>
          <w:p w:rsidR="00000000" w:rsidRPr="00C96838" w:rsidP="00C96838">
            <w:pPr>
              <w:pStyle w:val="BodyText"/>
            </w:pPr>
            <w:r w:rsidRPr="00C96838">
              <w:t>2.2. Identify value added by each internal step by measuring its contribution to features and customer benefits in accordance with enterprise definitions</w:t>
            </w:r>
          </w:p>
          <w:p w:rsidR="00000000" w:rsidRPr="00C96838" w:rsidP="00C96838">
            <w:pPr>
              <w:pStyle w:val="BodyText"/>
            </w:pPr>
            <w:r w:rsidRPr="00C96838">
              <w:t>2.3. Identify activities which do not add value, including excess production and early</w:t>
            </w:r>
            <w:r w:rsidRPr="00C96838">
              <w:t xml:space="preserve"> production, delays, movement and transport, poor process design, inventory, inefficient performance of a process and making defective items</w:t>
            </w:r>
          </w:p>
          <w:p w:rsidR="00000000" w:rsidRPr="00C96838" w:rsidP="00C96838">
            <w:pPr>
              <w:pStyle w:val="BodyText"/>
            </w:pPr>
            <w:r w:rsidRPr="00C96838">
              <w:t>2.4. Liaise with external and internal supply chain members to identify methods to reduce non-value adding activiti</w:t>
            </w:r>
            <w:r w:rsidRPr="00C96838">
              <w:t>es</w:t>
            </w:r>
          </w:p>
          <w:p w:rsidR="00000000" w:rsidRPr="00C96838" w:rsidP="00C96838">
            <w:pPr>
              <w:pStyle w:val="BodyText"/>
            </w:pPr>
            <w:r w:rsidRPr="00C96838">
              <w:t>2.5. Collate and assess information</w:t>
            </w:r>
          </w:p>
          <w:p w:rsidR="00000000" w:rsidRPr="00C96838" w:rsidP="00C96838">
            <w:pPr>
              <w:pStyle w:val="BodyText"/>
            </w:pPr>
            <w:r w:rsidRPr="00C96838">
              <w:t>2.6. Record suggestions for improvements and submit for approval</w:t>
            </w:r>
          </w:p>
        </w:tc>
      </w:tr>
    </w:tbl>
    <w:p w:rsidR="00000000" w:rsidRPr="00C96838" w:rsidP="00C96838">
      <w:pPr>
        <w:pStyle w:val="BodyText"/>
      </w:pPr>
    </w:p>
    <w:p w:rsidR="00000000" w:rsidRPr="00C96838" w:rsidP="00C96838">
      <w:pPr>
        <w:pStyle w:val="AllowPageBreak"/>
      </w:pPr>
    </w:p>
    <w:p w:rsidR="00000000" w:rsidRPr="00C96838" w:rsidP="00C96838">
      <w:pPr>
        <w:pStyle w:val="Heading1"/>
      </w:pPr>
      <w:bookmarkStart w:id="6" w:name="O_945870"/>
      <w:bookmarkEnd w:id="6"/>
      <w:r w:rsidRPr="00C96838">
        <w:t>Foundation Skills</w:t>
      </w:r>
    </w:p>
    <w:p w:rsidR="00000000" w:rsidRPr="00C96838" w:rsidP="009400C6">
      <w:pPr>
        <w:pStyle w:val="BodyText"/>
      </w:pPr>
      <w:r w:rsidRPr="00C96838">
        <w:t>This section describes those language, literacy, numeracy and employment skills that are essential to performance.</w:t>
      </w:r>
    </w:p>
    <w:p w:rsidR="00000000" w:rsidRPr="00C96838" w:rsidP="009400C6">
      <w:pPr>
        <w:pStyle w:val="BodyText"/>
      </w:pPr>
      <w:r w:rsidRPr="00C96838">
        <w:t>Foundation skills essential to performance are explicit in the performance criteria of this unit of competency.</w:t>
      </w:r>
    </w:p>
    <w:p w:rsidR="00000000" w:rsidRPr="00C96838" w:rsidP="00C96838">
      <w:pPr>
        <w:pStyle w:val="Heading1"/>
      </w:pPr>
      <w:bookmarkStart w:id="7" w:name="O_945869"/>
      <w:bookmarkEnd w:id="7"/>
      <w:r w:rsidRPr="00C96838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9683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38">
            <w:pPr>
              <w:pStyle w:val="BodyText"/>
              <w:rPr>
                <w:lang w:val="en-NZ"/>
              </w:rPr>
            </w:pPr>
            <w:r w:rsidRPr="00C96838">
              <w:t>This field allows for different work environments and conditions that may affect performance. Essential ope</w:t>
            </w:r>
            <w:r w:rsidRPr="00C9683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9683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38">
            <w:pPr>
              <w:pStyle w:val="BodyText"/>
              <w:rPr>
                <w:lang w:val="en-NZ"/>
              </w:rPr>
            </w:pPr>
            <w:r w:rsidRPr="00C96838">
              <w:t>Supply stream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38" w:rsidP="00C96838">
            <w:pPr>
              <w:pStyle w:val="ListBullet"/>
            </w:pPr>
            <w:r w:rsidRPr="00C96838">
              <w:t>raw materials</w:t>
            </w:r>
          </w:p>
          <w:p w:rsidR="00000000" w:rsidRPr="00C96838" w:rsidP="00C96838">
            <w:pPr>
              <w:pStyle w:val="ListBullet"/>
            </w:pPr>
            <w:r w:rsidRPr="00C96838">
              <w:t>processing and production</w:t>
            </w:r>
          </w:p>
          <w:p w:rsidR="00000000" w:rsidRPr="00C96838" w:rsidP="00C96838">
            <w:pPr>
              <w:pStyle w:val="ListBullet"/>
            </w:pPr>
            <w:r w:rsidRPr="00C96838">
              <w:t>delivery</w:t>
            </w:r>
          </w:p>
          <w:p w:rsidR="00000000" w:rsidP="00C96838">
            <w:pPr>
              <w:pStyle w:val="ListBullet"/>
              <w:rPr>
                <w:lang w:val="en-NZ"/>
              </w:rPr>
            </w:pPr>
            <w:r w:rsidRPr="00C96838">
              <w:t>r</w:t>
            </w:r>
            <w:r w:rsidRPr="00C96838">
              <w:t>eturn.</w:t>
            </w:r>
          </w:p>
        </w:tc>
      </w:tr>
      <w:tr w:rsidTr="00C9683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38">
            <w:pPr>
              <w:pStyle w:val="BodyText"/>
              <w:rPr>
                <w:lang w:val="en-NZ"/>
              </w:rPr>
            </w:pPr>
            <w:r w:rsidRPr="00C96838">
              <w:t>Value added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38" w:rsidP="00C96838">
            <w:pPr>
              <w:pStyle w:val="ListBullet"/>
            </w:pPr>
            <w:r w:rsidRPr="00C96838">
              <w:t>customer benefits</w:t>
            </w:r>
          </w:p>
          <w:p w:rsidR="00000000" w:rsidRPr="00C96838" w:rsidP="00C96838">
            <w:pPr>
              <w:pStyle w:val="ListBullet"/>
            </w:pPr>
            <w:r w:rsidRPr="00C96838">
              <w:t xml:space="preserve">product features </w:t>
            </w:r>
          </w:p>
          <w:p w:rsidR="00000000" w:rsidP="00C96838">
            <w:pPr>
              <w:pStyle w:val="ListBullet"/>
              <w:rPr>
                <w:lang w:val="en-NZ"/>
              </w:rPr>
            </w:pPr>
            <w:r w:rsidRPr="00C96838">
              <w:t>company definitions.</w:t>
            </w:r>
          </w:p>
        </w:tc>
      </w:tr>
      <w:tr w:rsidTr="00C9683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38">
            <w:pPr>
              <w:pStyle w:val="BodyText"/>
              <w:rPr>
                <w:lang w:val="en-NZ"/>
              </w:rPr>
            </w:pPr>
            <w:r w:rsidRPr="00C96838">
              <w:t>Non-value adding activities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38" w:rsidP="00C96838">
            <w:pPr>
              <w:pStyle w:val="ListBullet"/>
            </w:pPr>
            <w:r w:rsidRPr="00C96838">
              <w:t>excess production and early production</w:t>
            </w:r>
          </w:p>
          <w:p w:rsidR="00000000" w:rsidRPr="00C96838" w:rsidP="00C96838">
            <w:pPr>
              <w:pStyle w:val="ListBullet"/>
            </w:pPr>
            <w:r w:rsidRPr="00C96838">
              <w:t>delays</w:t>
            </w:r>
          </w:p>
          <w:p w:rsidR="00000000" w:rsidRPr="00C96838" w:rsidP="00C96838">
            <w:pPr>
              <w:pStyle w:val="ListBullet"/>
            </w:pPr>
            <w:r w:rsidRPr="00C96838">
              <w:t>movement and transport</w:t>
            </w:r>
          </w:p>
          <w:p w:rsidR="00000000" w:rsidRPr="00C96838" w:rsidP="00C96838">
            <w:pPr>
              <w:pStyle w:val="ListBullet"/>
            </w:pPr>
            <w:r w:rsidRPr="00C96838">
              <w:t>poor process design</w:t>
            </w:r>
          </w:p>
          <w:p w:rsidR="00000000" w:rsidRPr="00C96838" w:rsidP="00C96838">
            <w:pPr>
              <w:pStyle w:val="ListBullet"/>
            </w:pPr>
            <w:r w:rsidRPr="00C96838">
              <w:t>inventory</w:t>
            </w:r>
          </w:p>
          <w:p w:rsidR="00000000" w:rsidRPr="00C96838" w:rsidP="00C96838">
            <w:pPr>
              <w:pStyle w:val="ListBullet"/>
            </w:pPr>
            <w:r w:rsidRPr="00C96838">
              <w:t>inefficient performance of a process</w:t>
            </w:r>
          </w:p>
          <w:p w:rsidR="00000000" w:rsidRPr="00C96838" w:rsidP="00C96838">
            <w:pPr>
              <w:pStyle w:val="ListBullet"/>
            </w:pPr>
            <w:r w:rsidRPr="00C96838">
              <w:t>making defective items.</w:t>
            </w:r>
          </w:p>
        </w:tc>
      </w:tr>
    </w:tbl>
    <w:p w:rsidR="00000000" w:rsidRPr="00C96838" w:rsidP="00C96838">
      <w:pPr>
        <w:pStyle w:val="BodyText"/>
      </w:pPr>
    </w:p>
    <w:p w:rsidR="00000000" w:rsidRPr="00C96838" w:rsidP="00C96838">
      <w:pPr>
        <w:pStyle w:val="AllowPageBreak"/>
      </w:pPr>
    </w:p>
    <w:p w:rsidR="00000000" w:rsidRPr="00C96838" w:rsidP="00C96838">
      <w:pPr>
        <w:pStyle w:val="Heading1"/>
      </w:pPr>
      <w:bookmarkStart w:id="8" w:name="O_945868"/>
      <w:bookmarkEnd w:id="8"/>
      <w:r w:rsidRPr="00C96838">
        <w:t>Unit Mapping Information</w:t>
      </w:r>
    </w:p>
    <w:p w:rsidR="00000000" w:rsidRPr="00C96838" w:rsidP="009400C6">
      <w:pPr>
        <w:pStyle w:val="BodyText"/>
      </w:pPr>
      <w:r w:rsidRPr="00C96838">
        <w:t>Release 1. Supersedes and is equivalent to MEM30016A Assist in the analysis of a supply chain.</w:t>
      </w:r>
    </w:p>
    <w:p w:rsidR="00000000" w:rsidRPr="00C96838" w:rsidP="00C96838">
      <w:pPr>
        <w:pStyle w:val="Heading1"/>
      </w:pPr>
      <w:bookmarkStart w:id="9" w:name="O_945861"/>
      <w:bookmarkEnd w:id="9"/>
      <w:r w:rsidRPr="00C96838">
        <w:t>Links</w:t>
      </w:r>
    </w:p>
    <w:p w:rsidR="00000000" w:rsidRPr="00C96838" w:rsidP="009400C6">
      <w:pPr>
        <w:pStyle w:val="BodyText"/>
      </w:pPr>
      <w:r w:rsidRPr="00C968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32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96838" w:rsidP="00C96838"/>
    <w:sectPr w:rsidSect="00C968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38" w:rsidRPr="009400C6" w:rsidP="009400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C6" w:rsidP="00C96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0C6" w:rsidP="00C96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00C6" w:rsidP="00C96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838" w:rsidRPr="009400C6" w:rsidP="009400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C6" w:rsidRPr="002D2AF8" w:rsidP="00C96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MEM30016 Assist in the analysis of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400C6" w:rsidP="00C96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386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CA42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838"/>
  </w:style>
  <w:style w:type="character" w:customStyle="1" w:styleId="Heading1Char">
    <w:name w:val="Heading 1 Char"/>
    <w:basedOn w:val="DefaultParagraphFont"/>
    <w:link w:val="Heading1"/>
    <w:rsid w:val="00C96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8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838"/>
    <w:rPr>
      <w:b/>
      <w:spacing w:val="0"/>
    </w:rPr>
  </w:style>
  <w:style w:type="character" w:styleId="Emphasis">
    <w:name w:val="Emphasis"/>
    <w:basedOn w:val="DefaultParagraphFont"/>
    <w:qFormat/>
    <w:rsid w:val="00C96838"/>
    <w:rPr>
      <w:i/>
    </w:rPr>
  </w:style>
  <w:style w:type="paragraph" w:customStyle="1" w:styleId="SuperHeading">
    <w:name w:val="SuperHeading"/>
    <w:basedOn w:val="Normal"/>
    <w:rsid w:val="00C96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8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8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838"/>
  </w:style>
  <w:style w:type="paragraph" w:styleId="TableofFigures">
    <w:name w:val="table of figures"/>
    <w:basedOn w:val="Normal"/>
    <w:next w:val="Normal"/>
    <w:semiHidden/>
    <w:rsid w:val="00C96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8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838"/>
    <w:rPr>
      <w:rFonts w:ascii="Wingdings" w:hAnsi="Wingdings"/>
    </w:rPr>
  </w:style>
  <w:style w:type="paragraph" w:customStyle="1" w:styleId="TableHeading">
    <w:name w:val="Table Heading"/>
    <w:basedOn w:val="HeadingBase"/>
    <w:rsid w:val="00C96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838"/>
    <w:rPr>
      <w:color w:val="0033CC"/>
      <w:u w:val="none"/>
    </w:rPr>
  </w:style>
  <w:style w:type="paragraph" w:customStyle="1" w:styleId="BodyTextRight">
    <w:name w:val="Body Text Right"/>
    <w:basedOn w:val="BodyText"/>
    <w:rsid w:val="00C96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8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838"/>
    <w:rPr>
      <w:sz w:val="32"/>
    </w:rPr>
  </w:style>
  <w:style w:type="paragraph" w:customStyle="1" w:styleId="HeadingProcedure">
    <w:name w:val="Heading Procedure"/>
    <w:basedOn w:val="HeadingBase"/>
    <w:next w:val="Normal"/>
    <w:rsid w:val="00C96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838"/>
    <w:pPr>
      <w:spacing w:before="60" w:after="60"/>
    </w:pPr>
  </w:style>
  <w:style w:type="paragraph" w:styleId="ListContinue">
    <w:name w:val="List Continue"/>
    <w:basedOn w:val="List"/>
    <w:rsid w:val="00C96838"/>
    <w:pPr>
      <w:ind w:firstLine="0"/>
    </w:pPr>
  </w:style>
  <w:style w:type="paragraph" w:customStyle="1" w:styleId="ListNote">
    <w:name w:val="List Note"/>
    <w:basedOn w:val="List"/>
    <w:rsid w:val="00C96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838"/>
    <w:rPr>
      <w:rFonts w:ascii="Courier New" w:hAnsi="Courier New"/>
    </w:rPr>
  </w:style>
  <w:style w:type="paragraph" w:customStyle="1" w:styleId="NoteBullet">
    <w:name w:val="Note Bullet"/>
    <w:basedOn w:val="Note"/>
    <w:rsid w:val="00C96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8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838"/>
    <w:rPr>
      <w:b/>
      <w:smallCaps/>
    </w:rPr>
  </w:style>
  <w:style w:type="paragraph" w:customStyle="1" w:styleId="TableListNumber">
    <w:name w:val="Table List Number"/>
    <w:basedOn w:val="ListNumber"/>
    <w:rsid w:val="00C96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838"/>
    <w:pPr>
      <w:numPr>
        <w:numId w:val="8"/>
      </w:numPr>
    </w:pPr>
  </w:style>
  <w:style w:type="paragraph" w:customStyle="1" w:styleId="ListAlpha2">
    <w:name w:val="List Alpha 2"/>
    <w:basedOn w:val="List2"/>
    <w:rsid w:val="00C96838"/>
    <w:pPr>
      <w:numPr>
        <w:numId w:val="7"/>
      </w:numPr>
    </w:pPr>
  </w:style>
  <w:style w:type="paragraph" w:styleId="List2">
    <w:name w:val="List 2"/>
    <w:basedOn w:val="BodyText"/>
    <w:rsid w:val="00C96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8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8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8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838"/>
    <w:pPr>
      <w:numPr>
        <w:numId w:val="3"/>
      </w:numPr>
    </w:pPr>
  </w:style>
  <w:style w:type="paragraph" w:styleId="ListContinue2">
    <w:name w:val="List Continue 2"/>
    <w:basedOn w:val="List2"/>
    <w:rsid w:val="00C96838"/>
    <w:pPr>
      <w:ind w:firstLine="0"/>
    </w:pPr>
  </w:style>
  <w:style w:type="paragraph" w:styleId="ListContinue3">
    <w:name w:val="List Continue 3"/>
    <w:basedOn w:val="List3"/>
    <w:rsid w:val="00C96838"/>
    <w:pPr>
      <w:ind w:left="1021" w:firstLine="0"/>
    </w:pPr>
  </w:style>
  <w:style w:type="paragraph" w:styleId="ListContinue4">
    <w:name w:val="List Continue 4"/>
    <w:basedOn w:val="List4"/>
    <w:rsid w:val="00C96838"/>
    <w:pPr>
      <w:ind w:firstLine="0"/>
    </w:pPr>
  </w:style>
  <w:style w:type="paragraph" w:styleId="ListContinue5">
    <w:name w:val="List Continue 5"/>
    <w:basedOn w:val="List5"/>
    <w:rsid w:val="00C96838"/>
    <w:pPr>
      <w:ind w:firstLine="0"/>
    </w:pPr>
  </w:style>
  <w:style w:type="paragraph" w:styleId="ListNumber3">
    <w:name w:val="List Number 3"/>
    <w:basedOn w:val="List3"/>
    <w:rsid w:val="00C96838"/>
    <w:pPr>
      <w:numPr>
        <w:numId w:val="4"/>
      </w:numPr>
    </w:pPr>
  </w:style>
  <w:style w:type="paragraph" w:styleId="ListNumber4">
    <w:name w:val="List Number 4"/>
    <w:basedOn w:val="List4"/>
    <w:rsid w:val="00C96838"/>
    <w:pPr>
      <w:numPr>
        <w:numId w:val="5"/>
      </w:numPr>
    </w:pPr>
  </w:style>
  <w:style w:type="paragraph" w:styleId="ListNumber5">
    <w:name w:val="List Number 5"/>
    <w:basedOn w:val="List5"/>
    <w:rsid w:val="00C96838"/>
    <w:pPr>
      <w:numPr>
        <w:numId w:val="6"/>
      </w:numPr>
    </w:pPr>
  </w:style>
  <w:style w:type="paragraph" w:styleId="BlockText">
    <w:name w:val="Block Text"/>
    <w:basedOn w:val="Normal"/>
    <w:rsid w:val="00C96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838"/>
    <w:rPr>
      <w:sz w:val="16"/>
      <w:vertAlign w:val="superscript"/>
    </w:rPr>
  </w:style>
  <w:style w:type="character" w:customStyle="1" w:styleId="Symbols">
    <w:name w:val="Symbols"/>
    <w:basedOn w:val="DefaultParagraphFont"/>
    <w:rsid w:val="00C96838"/>
    <w:rPr>
      <w:rFonts w:ascii="Symbol" w:hAnsi="Symbol"/>
    </w:rPr>
  </w:style>
  <w:style w:type="character" w:customStyle="1" w:styleId="MenuOptions">
    <w:name w:val="Menu Options"/>
    <w:basedOn w:val="DefaultParagraphFont"/>
    <w:rsid w:val="00C96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838"/>
    <w:rPr>
      <w:b/>
    </w:rPr>
  </w:style>
  <w:style w:type="character" w:customStyle="1" w:styleId="Underlined">
    <w:name w:val="Underlined"/>
    <w:basedOn w:val="DefaultParagraphFont"/>
    <w:rsid w:val="00C96838"/>
    <w:rPr>
      <w:u w:val="single"/>
    </w:rPr>
  </w:style>
  <w:style w:type="paragraph" w:customStyle="1" w:styleId="TableBodyTextRight">
    <w:name w:val="Table Body Text Right"/>
    <w:basedOn w:val="TableBodyText"/>
    <w:rsid w:val="00C96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838"/>
    <w:rPr>
      <w:sz w:val="18"/>
    </w:rPr>
  </w:style>
  <w:style w:type="paragraph" w:customStyle="1" w:styleId="BodySmallRight">
    <w:name w:val="Body Small Right"/>
    <w:basedOn w:val="BodyTextRight"/>
    <w:rsid w:val="00C96838"/>
    <w:rPr>
      <w:sz w:val="18"/>
      <w:szCs w:val="18"/>
    </w:rPr>
  </w:style>
  <w:style w:type="paragraph" w:customStyle="1" w:styleId="MarginEdition">
    <w:name w:val="Margin Edition"/>
    <w:basedOn w:val="MarginNote"/>
    <w:rsid w:val="00C96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838"/>
    <w:rPr>
      <w:sz w:val="2"/>
      <w:szCs w:val="2"/>
    </w:rPr>
  </w:style>
  <w:style w:type="character" w:customStyle="1" w:styleId="Small">
    <w:name w:val="Small"/>
    <w:basedOn w:val="DefaultParagraphFont"/>
    <w:rsid w:val="00C96838"/>
    <w:rPr>
      <w:sz w:val="16"/>
    </w:rPr>
  </w:style>
  <w:style w:type="paragraph" w:customStyle="1" w:styleId="WideTable">
    <w:name w:val="Wide Table"/>
    <w:basedOn w:val="Normal"/>
    <w:rsid w:val="00C96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838"/>
  </w:style>
  <w:style w:type="paragraph" w:styleId="Quote">
    <w:name w:val="Quote"/>
    <w:basedOn w:val="Heading1"/>
    <w:link w:val="QuoteChar"/>
    <w:qFormat/>
    <w:rsid w:val="00C96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838"/>
    <w:pPr>
      <w:pageBreakBefore/>
    </w:pPr>
  </w:style>
  <w:style w:type="paragraph" w:customStyle="1" w:styleId="Border">
    <w:name w:val="Border"/>
    <w:basedOn w:val="Normal"/>
    <w:qFormat/>
    <w:rsid w:val="00C96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838"/>
    <w:rPr>
      <w:u w:val="single"/>
    </w:rPr>
  </w:style>
  <w:style w:type="character" w:customStyle="1" w:styleId="BoldandItalics">
    <w:name w:val="Bold and Italics"/>
    <w:qFormat/>
    <w:rsid w:val="00C96838"/>
    <w:rPr>
      <w:b/>
      <w:i/>
      <w:u w:val="none"/>
    </w:rPr>
  </w:style>
  <w:style w:type="paragraph" w:styleId="BalloonText">
    <w:name w:val="Balloon Text"/>
    <w:basedOn w:val="Normal"/>
    <w:link w:val="BalloonTextChar"/>
    <w:rsid w:val="00C9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838"/>
    <w:pPr>
      <w:spacing w:before="0" w:after="0"/>
    </w:pPr>
  </w:style>
  <w:style w:type="paragraph" w:customStyle="1" w:styleId="BodyTextBold">
    <w:name w:val="Body Text Bold"/>
    <w:basedOn w:val="BodyText"/>
    <w:qFormat/>
    <w:rsid w:val="00C96838"/>
    <w:rPr>
      <w:b/>
    </w:rPr>
  </w:style>
  <w:style w:type="character" w:styleId="Hyperlink">
    <w:name w:val="Hyperlink"/>
    <w:basedOn w:val="DefaultParagraphFont"/>
    <w:uiPriority w:val="99"/>
    <w:unhideWhenUsed/>
    <w:rsid w:val="009400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3253</Characters>
  <Application>Microsoft Office Word</Application>
  <DocSecurity>0</DocSecurity>
  <Lines>101</Lines>
  <Paragraphs>66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MEM30016 Assist in the analysis of a supply chain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