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481" w:rsidP="00903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MEM30008 Apply basic economic and ergonomic concepts to evaluate engineering applications</w:t>
      </w:r>
      <w:r>
        <w:fldChar w:fldCharType="end"/>
      </w:r>
    </w:p>
    <w:p w:rsidR="00903481" w:rsidP="00903481">
      <w:pPr>
        <w:pStyle w:val="Version"/>
        <w:sectPr w:rsidSect="00772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1C2" w:rsidP="007721C2">
      <w:pPr>
        <w:pStyle w:val="SuperHeading"/>
      </w:pPr>
      <w:r w:rsidRPr="007721C2">
        <w:t>MEM30008 Apply basic economic and ergonomic concepts to evaluate engineering applications</w:t>
      </w:r>
    </w:p>
    <w:p w:rsidR="00000000" w:rsidRPr="007721C2" w:rsidP="007721C2">
      <w:pPr>
        <w:pStyle w:val="Heading1"/>
      </w:pPr>
      <w:bookmarkStart w:id="1" w:name="O_945715"/>
      <w:bookmarkEnd w:id="1"/>
      <w:r w:rsidRPr="007721C2">
        <w:t>Modification History</w:t>
      </w:r>
    </w:p>
    <w:p w:rsidR="00903481" w:rsidP="00903481">
      <w:pPr>
        <w:pStyle w:val="BodyText"/>
      </w:pPr>
      <w:r w:rsidRPr="007721C2">
        <w:t>Release 1. Supersedes and is equivalent to MEM30008A Apply basic economic and ergonomic concepts to evaluate engineering applications.</w:t>
      </w:r>
    </w:p>
    <w:p w:rsidR="00000000" w:rsidRPr="007721C2" w:rsidP="007721C2">
      <w:pPr>
        <w:pStyle w:val="Heading1"/>
      </w:pPr>
      <w:bookmarkStart w:id="2" w:name="O_945723"/>
      <w:bookmarkEnd w:id="2"/>
      <w:r w:rsidRPr="007721C2">
        <w:t>Application</w:t>
      </w:r>
    </w:p>
    <w:p w:rsidR="00000000" w:rsidRPr="007721C2" w:rsidP="00903481">
      <w:pPr>
        <w:pStyle w:val="BodyText"/>
      </w:pPr>
      <w:r w:rsidRPr="007721C2">
        <w:t>This unit of competency defines the skills and knowledge required to apply basic concepts o</w:t>
      </w:r>
      <w:r w:rsidRPr="007721C2">
        <w:t>f economics and ergonomics to evaluate an engineering application prior to production.</w:t>
      </w:r>
    </w:p>
    <w:p w:rsidR="00000000" w:rsidRPr="007721C2" w:rsidP="00903481">
      <w:pPr>
        <w:pStyle w:val="BodyText"/>
      </w:pPr>
      <w:r w:rsidRPr="007721C2">
        <w:t>The unit applies to engineering or related activities and is suitable for people giving technical support in manufacturing or engineering operations and those pursuing t</w:t>
      </w:r>
      <w:r w:rsidRPr="007721C2">
        <w:t>echnical qualifications and careers at paraprofessional or technician level. All work is carried out under supervision.</w:t>
      </w:r>
    </w:p>
    <w:p w:rsidR="00903481" w:rsidP="00903481">
      <w:pPr>
        <w:pStyle w:val="BodyText"/>
      </w:pPr>
      <w:r w:rsidRPr="007721C2">
        <w:t>No licensing, legislative or certification requirements apply to this unit at the time of publication.</w:t>
      </w:r>
    </w:p>
    <w:p w:rsidR="00000000" w:rsidRPr="007721C2" w:rsidP="007721C2">
      <w:pPr>
        <w:pStyle w:val="Heading1"/>
      </w:pPr>
      <w:bookmarkStart w:id="3" w:name="O_945722"/>
      <w:bookmarkEnd w:id="3"/>
      <w:r w:rsidRPr="007721C2">
        <w:t>Pre-requisite U</w:t>
      </w:r>
      <w:r w:rsidRPr="007721C2">
        <w:t>nit</w:t>
      </w:r>
    </w:p>
    <w:p w:rsidR="00000000" w:rsidRPr="007721C2" w:rsidP="00903481">
      <w:pPr>
        <w:pStyle w:val="BodyText"/>
      </w:pPr>
      <w:r w:rsidRPr="007721C2">
        <w:t>Nil</w:t>
      </w:r>
    </w:p>
    <w:p w:rsidR="00000000" w:rsidRPr="007721C2" w:rsidP="007721C2">
      <w:pPr>
        <w:pStyle w:val="Heading1"/>
      </w:pPr>
      <w:bookmarkStart w:id="4" w:name="O_945721"/>
      <w:bookmarkEnd w:id="4"/>
      <w:r w:rsidRPr="007721C2">
        <w:t>Competency Field</w:t>
      </w:r>
    </w:p>
    <w:p w:rsidR="00903481" w:rsidP="00903481">
      <w:pPr>
        <w:pStyle w:val="BodyText"/>
      </w:pPr>
      <w:r w:rsidRPr="007721C2">
        <w:t>Engineering technician</w:t>
      </w:r>
    </w:p>
    <w:p w:rsidR="00000000" w:rsidRPr="007721C2" w:rsidP="007721C2">
      <w:pPr>
        <w:pStyle w:val="Heading1"/>
      </w:pPr>
      <w:bookmarkStart w:id="5" w:name="O_945719"/>
      <w:bookmarkEnd w:id="5"/>
      <w:r w:rsidRPr="007721C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034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BodyText"/>
            </w:pPr>
            <w:r w:rsidRPr="007721C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rPr>
                <w:rStyle w:val="SpecialBold"/>
              </w:rPr>
              <w:t>Performance Criteria</w:t>
            </w:r>
          </w:p>
        </w:tc>
      </w:tr>
      <w:tr w:rsidTr="009034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BodyText"/>
            </w:pPr>
            <w:r w:rsidRPr="007721C2">
              <w:rPr>
                <w:rStyle w:val="Emphasis"/>
              </w:rPr>
              <w:t xml:space="preserve">Elements describe the </w:t>
            </w:r>
            <w:r w:rsidRPr="007721C2">
              <w:t xml:space="preserve">essential </w:t>
            </w:r>
            <w:r w:rsidRPr="007721C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rPr>
                <w:rStyle w:val="Emphasis"/>
              </w:rPr>
              <w:t>Performance criteria describe the performance ne</w:t>
            </w:r>
            <w:r w:rsidRPr="007721C2">
              <w:rPr>
                <w:rStyle w:val="Emphasis"/>
              </w:rPr>
              <w:t>eded to demonstrate achievement of the element.</w:t>
            </w:r>
          </w:p>
        </w:tc>
      </w:tr>
      <w:tr w:rsidTr="009034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1. Prepare requirements from information provided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BodyText"/>
            </w:pPr>
            <w:r w:rsidRPr="007721C2">
              <w:t>1.1 Follow standard operating procedures (SOPs) and comply with work, health and safety (WHS) requirements</w:t>
            </w:r>
          </w:p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1.2 Obtain criteria for the engineering applicatio</w:t>
            </w:r>
            <w:r w:rsidRPr="007721C2">
              <w:t>n</w:t>
            </w:r>
          </w:p>
        </w:tc>
      </w:tr>
      <w:tr w:rsidTr="009034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 xml:space="preserve">2. Verify that requirements have been </w:t>
            </w:r>
            <w:r w:rsidRPr="007721C2">
              <w:t>met in the engineering application criteria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BodyText"/>
            </w:pPr>
            <w:r w:rsidRPr="007721C2">
              <w:t>2.1 Review the engineering application criteria against customer requirement and note deficiencies</w:t>
            </w:r>
          </w:p>
          <w:p w:rsidR="00000000" w:rsidRPr="007721C2" w:rsidP="007721C2">
            <w:pPr>
              <w:pStyle w:val="BodyText"/>
            </w:pPr>
            <w:r w:rsidRPr="007721C2">
              <w:t>2.2 Apply knowledge of engineering parameters to evaluate criteria</w:t>
            </w:r>
          </w:p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2.3 Verify use of appropriate and relevant standards and codes</w:t>
            </w:r>
          </w:p>
        </w:tc>
      </w:tr>
      <w:tr w:rsidTr="009034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3. Verify specifications in accordance with economic and ergonomic principles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BodyText"/>
            </w:pPr>
            <w:r w:rsidRPr="007721C2">
              <w:t xml:space="preserve">3.1 Assess the relationships between quality, cost of production and function </w:t>
            </w:r>
          </w:p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3.2 Check the specifications and ve</w:t>
            </w:r>
            <w:r w:rsidRPr="007721C2">
              <w:t>rify for health effects of human/machine interaction</w:t>
            </w:r>
          </w:p>
        </w:tc>
      </w:tr>
      <w:tr w:rsidTr="009034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4. Develop and seek approval of recommendations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BodyText"/>
            </w:pPr>
            <w:r w:rsidRPr="007721C2">
              <w:t>4.1 Develop recommendations based on all data considerations</w:t>
            </w:r>
          </w:p>
          <w:p w:rsidR="00000000" w:rsidRPr="007721C2" w:rsidP="007721C2">
            <w:pPr>
              <w:pStyle w:val="BodyText"/>
            </w:pPr>
            <w:r w:rsidRPr="007721C2">
              <w:t>4.2 Refer all recommendations to a supervisor for approval in accordance with policy and proc</w:t>
            </w:r>
            <w:r w:rsidRPr="007721C2">
              <w:t>edures</w:t>
            </w:r>
          </w:p>
        </w:tc>
      </w:tr>
    </w:tbl>
    <w:p w:rsidR="00903481" w:rsidP="007721C2">
      <w:pPr>
        <w:pStyle w:val="BodyText"/>
      </w:pPr>
    </w:p>
    <w:p w:rsidR="00903481" w:rsidP="007721C2">
      <w:pPr>
        <w:pStyle w:val="BodyText"/>
      </w:pPr>
    </w:p>
    <w:p w:rsidR="00000000" w:rsidRPr="007721C2" w:rsidP="007721C2">
      <w:pPr>
        <w:pStyle w:val="Heading1"/>
      </w:pPr>
      <w:bookmarkStart w:id="6" w:name="O_945718"/>
      <w:bookmarkEnd w:id="6"/>
      <w:r w:rsidRPr="007721C2">
        <w:t>Foundation Skills</w:t>
      </w:r>
    </w:p>
    <w:p w:rsidR="00000000" w:rsidRPr="007721C2" w:rsidP="00903481">
      <w:pPr>
        <w:pStyle w:val="BodyText"/>
      </w:pPr>
      <w:r w:rsidRPr="007721C2">
        <w:t>This section describes those language, literacy, numeracy and employment skills that are essential to performance.</w:t>
      </w:r>
    </w:p>
    <w:p w:rsidR="00903481" w:rsidP="00903481">
      <w:pPr>
        <w:pStyle w:val="BodyText"/>
      </w:pPr>
      <w:r w:rsidRPr="007721C2">
        <w:t>Foundation skills essential to performance are explicit in the performance criteria of this unit</w:t>
      </w:r>
      <w:r w:rsidRPr="007721C2">
        <w:t xml:space="preserve"> of competency.</w:t>
      </w:r>
    </w:p>
    <w:p w:rsidR="00000000" w:rsidRPr="007721C2" w:rsidP="007721C2">
      <w:pPr>
        <w:pStyle w:val="Heading1"/>
      </w:pPr>
      <w:bookmarkStart w:id="7" w:name="O_945717"/>
      <w:bookmarkEnd w:id="7"/>
      <w:r w:rsidRPr="007721C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721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This field allows for different work environments and conditions that may affect performance. Essential operating conditions that may be present (depending on the work situation, needs of the candidate,</w:t>
            </w:r>
            <w:r w:rsidRPr="007721C2">
              <w:t xml:space="preserve"> accessibility of the item, and local industry and regional contexts) are included.</w:t>
            </w:r>
          </w:p>
        </w:tc>
      </w:tr>
      <w:tr w:rsidTr="007721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Engineering application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ListBullet"/>
            </w:pPr>
            <w:r w:rsidRPr="007721C2">
              <w:t>assisting in engineering processes and applications requiring ergonomic and economic knowledge</w:t>
            </w:r>
          </w:p>
          <w:p w:rsidR="00000000" w:rsidRPr="007721C2" w:rsidP="007721C2">
            <w:pPr>
              <w:pStyle w:val="ListBullet"/>
            </w:pPr>
            <w:r w:rsidRPr="007721C2">
              <w:t>skills including:</w:t>
            </w:r>
          </w:p>
          <w:p w:rsidR="00000000" w:rsidRPr="007721C2" w:rsidP="007721C2">
            <w:pPr>
              <w:pStyle w:val="ListBullet2"/>
            </w:pPr>
            <w:r w:rsidRPr="007721C2">
              <w:t>design</w:t>
            </w:r>
          </w:p>
          <w:p w:rsidR="00000000" w:rsidRPr="007721C2" w:rsidP="007721C2">
            <w:pPr>
              <w:pStyle w:val="ListBullet2"/>
            </w:pPr>
            <w:r w:rsidRPr="007721C2">
              <w:t>engineering assessments</w:t>
            </w:r>
          </w:p>
          <w:p w:rsidR="00000000" w:rsidP="007721C2">
            <w:pPr>
              <w:pStyle w:val="ListBullet2"/>
              <w:rPr>
                <w:lang w:val="en-NZ"/>
              </w:rPr>
            </w:pPr>
            <w:r w:rsidRPr="007721C2">
              <w:t>supervision of installation and commissioning.</w:t>
            </w:r>
          </w:p>
        </w:tc>
      </w:tr>
      <w:tr w:rsidTr="007721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Engineering parameters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ListBullet"/>
            </w:pPr>
            <w:r w:rsidRPr="007721C2">
              <w:t>consideration of safety of personnel</w:t>
            </w:r>
          </w:p>
          <w:p w:rsidR="00000000" w:rsidRPr="007721C2" w:rsidP="007721C2">
            <w:pPr>
              <w:pStyle w:val="ListBullet"/>
            </w:pPr>
            <w:r w:rsidRPr="007721C2">
              <w:t>consequences of failure (human injury)</w:t>
            </w:r>
          </w:p>
          <w:p w:rsidR="00000000" w:rsidRPr="007721C2" w:rsidP="007721C2">
            <w:pPr>
              <w:pStyle w:val="ListBullet"/>
            </w:pPr>
            <w:r w:rsidRPr="007721C2">
              <w:t>economic considerations</w:t>
            </w:r>
          </w:p>
          <w:p w:rsidR="00000000" w:rsidRPr="007721C2" w:rsidP="007721C2">
            <w:pPr>
              <w:pStyle w:val="ListBullet"/>
            </w:pPr>
            <w:r w:rsidRPr="007721C2">
              <w:t>production cost</w:t>
            </w:r>
          </w:p>
          <w:p w:rsidR="00000000" w:rsidRPr="007721C2" w:rsidP="007721C2">
            <w:pPr>
              <w:pStyle w:val="ListBullet"/>
            </w:pPr>
            <w:r w:rsidRPr="007721C2">
              <w:t>quality of product consideration</w:t>
            </w:r>
          </w:p>
          <w:p w:rsidR="00000000" w:rsidRPr="007721C2" w:rsidP="007721C2">
            <w:pPr>
              <w:pStyle w:val="ListBullet"/>
            </w:pPr>
            <w:r w:rsidRPr="007721C2">
              <w:t>material reliability and choice</w:t>
            </w:r>
          </w:p>
          <w:p w:rsidR="00000000" w:rsidRPr="007721C2" w:rsidP="007721C2">
            <w:pPr>
              <w:pStyle w:val="ListBullet"/>
            </w:pPr>
            <w:r w:rsidRPr="007721C2">
              <w:t>design safety factors</w:t>
            </w:r>
          </w:p>
          <w:p w:rsidR="00000000" w:rsidRPr="007721C2" w:rsidP="007721C2">
            <w:pPr>
              <w:pStyle w:val="ListBullet"/>
            </w:pPr>
            <w:r w:rsidRPr="007721C2">
              <w:t>maintenance</w:t>
            </w:r>
          </w:p>
          <w:p w:rsidR="00000000" w:rsidRPr="007721C2" w:rsidP="007721C2">
            <w:pPr>
              <w:pStyle w:val="ListBullet"/>
            </w:pPr>
            <w:r w:rsidRPr="007721C2">
              <w:t>energy consumption</w:t>
            </w:r>
          </w:p>
          <w:p w:rsidR="00000000" w:rsidP="007721C2">
            <w:pPr>
              <w:pStyle w:val="ListBullet"/>
              <w:rPr>
                <w:lang w:val="en-NZ"/>
              </w:rPr>
            </w:pPr>
            <w:r w:rsidRPr="007721C2">
              <w:t>source of spares or service.</w:t>
            </w:r>
          </w:p>
        </w:tc>
      </w:tr>
      <w:tr w:rsidTr="007721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Standards and codes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ListBullet"/>
            </w:pPr>
            <w:r w:rsidRPr="007721C2">
              <w:t>AS Doc 3000N Notes on Changes in the SAA Wiring Rules</w:t>
            </w:r>
          </w:p>
          <w:p w:rsidR="00000000" w:rsidRPr="007721C2" w:rsidP="007721C2">
            <w:pPr>
              <w:pStyle w:val="ListBullet"/>
            </w:pPr>
            <w:r w:rsidRPr="007721C2">
              <w:t>AS 4100 Steel structures</w:t>
            </w:r>
          </w:p>
          <w:p w:rsidR="00000000" w:rsidRPr="007721C2" w:rsidP="007721C2">
            <w:pPr>
              <w:pStyle w:val="ListBullet"/>
            </w:pPr>
            <w:r w:rsidRPr="007721C2">
              <w:t>AS 3990 Mechanical equipment - S</w:t>
            </w:r>
            <w:r w:rsidRPr="007721C2">
              <w:t>teelwork</w:t>
            </w:r>
          </w:p>
          <w:p w:rsidR="00000000" w:rsidRPr="007721C2" w:rsidP="007721C2">
            <w:pPr>
              <w:pStyle w:val="ListBullet"/>
            </w:pPr>
            <w:r w:rsidRPr="007721C2">
              <w:t>AS/NZS ISO 45001 Occupational health and safety management systems</w:t>
            </w:r>
          </w:p>
          <w:p w:rsidR="00000000" w:rsidRPr="007721C2" w:rsidP="007721C2">
            <w:pPr>
              <w:pStyle w:val="ListBullet"/>
            </w:pPr>
            <w:r w:rsidRPr="007721C2">
              <w:t>AS 1100.101 Technical drawing - General principles</w:t>
            </w:r>
          </w:p>
          <w:p w:rsidR="00000000" w:rsidP="007721C2">
            <w:pPr>
              <w:pStyle w:val="ListBullet"/>
              <w:rPr>
                <w:lang w:val="en-NZ"/>
              </w:rPr>
            </w:pPr>
            <w:r w:rsidRPr="007721C2">
              <w:t>International Organization for Standardization (ISO).</w:t>
            </w:r>
          </w:p>
        </w:tc>
      </w:tr>
      <w:tr w:rsidTr="007721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Economic principles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ListBullet"/>
            </w:pPr>
            <w:r w:rsidRPr="007721C2">
              <w:t>production quantities (mass and batch)</w:t>
            </w:r>
          </w:p>
          <w:p w:rsidR="00000000" w:rsidRPr="007721C2" w:rsidP="007721C2">
            <w:pPr>
              <w:pStyle w:val="ListBullet"/>
            </w:pPr>
            <w:r w:rsidRPr="007721C2">
              <w:t>cost of manufacture</w:t>
            </w:r>
          </w:p>
          <w:p w:rsidR="00000000" w:rsidRPr="007721C2" w:rsidP="007721C2">
            <w:pPr>
              <w:pStyle w:val="ListBullet"/>
            </w:pPr>
            <w:r w:rsidRPr="007721C2">
              <w:t>ease of manufacture</w:t>
            </w:r>
          </w:p>
          <w:p w:rsidR="00000000" w:rsidRPr="007721C2" w:rsidP="007721C2">
            <w:pPr>
              <w:pStyle w:val="ListBullet"/>
            </w:pPr>
            <w:r w:rsidRPr="007721C2">
              <w:t>use of standardised components</w:t>
            </w:r>
          </w:p>
          <w:p w:rsidR="00000000" w:rsidRPr="007721C2" w:rsidP="007721C2">
            <w:pPr>
              <w:pStyle w:val="ListBullet"/>
            </w:pPr>
            <w:r w:rsidRPr="007721C2">
              <w:t>human capacity (reach, dexterity, strength, repetitiveness and human comfort)</w:t>
            </w:r>
          </w:p>
          <w:p w:rsidR="00000000" w:rsidRPr="007721C2" w:rsidP="007721C2">
            <w:pPr>
              <w:pStyle w:val="ListBullet"/>
            </w:pPr>
            <w:r w:rsidRPr="007721C2">
              <w:t>aesthetics</w:t>
            </w:r>
          </w:p>
          <w:p w:rsidR="00000000" w:rsidRPr="007721C2" w:rsidP="007721C2">
            <w:pPr>
              <w:pStyle w:val="ListBullet"/>
            </w:pPr>
            <w:r w:rsidRPr="007721C2">
              <w:t>health effects of human/machine interaction</w:t>
            </w:r>
          </w:p>
          <w:p w:rsidR="00000000" w:rsidP="007721C2">
            <w:pPr>
              <w:pStyle w:val="ListBullet"/>
              <w:rPr>
                <w:lang w:val="en-NZ"/>
              </w:rPr>
            </w:pPr>
            <w:r w:rsidRPr="007721C2">
              <w:t>safety.</w:t>
            </w:r>
          </w:p>
        </w:tc>
      </w:tr>
      <w:tr w:rsidTr="007721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C2">
            <w:pPr>
              <w:pStyle w:val="BodyText"/>
              <w:rPr>
                <w:lang w:val="en-NZ"/>
              </w:rPr>
            </w:pPr>
            <w:r w:rsidRPr="007721C2">
              <w:t>Ergonomic principles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C2" w:rsidP="007721C2">
            <w:pPr>
              <w:pStyle w:val="ListBullet"/>
            </w:pPr>
            <w:r w:rsidRPr="007721C2">
              <w:t>designing</w:t>
            </w:r>
          </w:p>
          <w:p w:rsidR="00000000" w:rsidRPr="007721C2" w:rsidP="007721C2">
            <w:pPr>
              <w:pStyle w:val="ListBullet"/>
            </w:pPr>
            <w:r w:rsidRPr="007721C2">
              <w:t>installing or checking things for effective human use</w:t>
            </w:r>
          </w:p>
          <w:p w:rsidR="00000000" w:rsidRPr="007721C2" w:rsidP="007721C2">
            <w:pPr>
              <w:pStyle w:val="ListBullet"/>
            </w:pPr>
            <w:r w:rsidRPr="007721C2">
              <w:t>creating environments that are suitable for human living and work</w:t>
            </w:r>
          </w:p>
          <w:p w:rsidR="00000000" w:rsidRPr="007721C2" w:rsidP="007721C2">
            <w:pPr>
              <w:pStyle w:val="ListBullet"/>
            </w:pPr>
            <w:r w:rsidRPr="007721C2">
              <w:t>work methods</w:t>
            </w:r>
          </w:p>
          <w:p w:rsidR="00000000" w:rsidRPr="007721C2" w:rsidP="007721C2">
            <w:pPr>
              <w:pStyle w:val="ListBullet"/>
            </w:pPr>
            <w:r w:rsidRPr="007721C2">
              <w:t>equipment</w:t>
            </w:r>
          </w:p>
          <w:p w:rsidR="00000000" w:rsidRPr="007721C2" w:rsidP="007721C2">
            <w:pPr>
              <w:pStyle w:val="ListBullet"/>
            </w:pPr>
            <w:r w:rsidRPr="007721C2">
              <w:t>facilities</w:t>
            </w:r>
          </w:p>
          <w:p w:rsidR="00000000" w:rsidRPr="007721C2" w:rsidP="007721C2">
            <w:pPr>
              <w:pStyle w:val="ListBullet"/>
            </w:pPr>
            <w:r w:rsidRPr="007721C2">
              <w:t>tools that influence the worker</w:t>
            </w:r>
            <w:r>
              <w:t>’</w:t>
            </w:r>
            <w:r w:rsidRPr="007721C2">
              <w:t>s motivation</w:t>
            </w:r>
          </w:p>
          <w:p w:rsidR="00000000" w:rsidRPr="007721C2" w:rsidP="007721C2">
            <w:pPr>
              <w:pStyle w:val="ListBullet"/>
            </w:pPr>
            <w:r w:rsidRPr="007721C2">
              <w:t>fatigue</w:t>
            </w:r>
          </w:p>
          <w:p w:rsidR="00000000" w:rsidRPr="007721C2" w:rsidP="007721C2">
            <w:pPr>
              <w:pStyle w:val="ListBullet"/>
            </w:pPr>
            <w:r w:rsidRPr="007721C2">
              <w:t>likelihood of sustaining an occupational injury o</w:t>
            </w:r>
            <w:r w:rsidRPr="007721C2">
              <w:t>r illness</w:t>
            </w:r>
          </w:p>
          <w:p w:rsidR="00000000" w:rsidRPr="007721C2" w:rsidP="007721C2">
            <w:pPr>
              <w:pStyle w:val="ListBullet"/>
            </w:pPr>
            <w:r w:rsidRPr="007721C2">
              <w:t>productivity.</w:t>
            </w:r>
          </w:p>
        </w:tc>
      </w:tr>
    </w:tbl>
    <w:p w:rsidR="00903481" w:rsidP="007721C2">
      <w:pPr>
        <w:pStyle w:val="BodyText"/>
      </w:pPr>
    </w:p>
    <w:p w:rsidR="00903481" w:rsidP="007721C2">
      <w:pPr>
        <w:pStyle w:val="BodyText"/>
      </w:pPr>
    </w:p>
    <w:p w:rsidR="00000000" w:rsidRPr="007721C2" w:rsidP="007721C2">
      <w:pPr>
        <w:pStyle w:val="Heading1"/>
      </w:pPr>
      <w:bookmarkStart w:id="8" w:name="O_945716"/>
      <w:bookmarkEnd w:id="8"/>
      <w:r w:rsidRPr="007721C2">
        <w:t>Unit Mapping Information</w:t>
      </w:r>
    </w:p>
    <w:p w:rsidR="00903481" w:rsidP="00903481">
      <w:pPr>
        <w:pStyle w:val="BodyText"/>
      </w:pPr>
      <w:r w:rsidRPr="007721C2">
        <w:t>Release 1. Supersedes and is equivalent to MEM30008A Apply basic economic and ergonomic concepts to evaluate engineering applications.</w:t>
      </w:r>
    </w:p>
    <w:p w:rsidR="00000000" w:rsidRPr="007721C2" w:rsidP="007721C2">
      <w:pPr>
        <w:pStyle w:val="Heading1"/>
      </w:pPr>
      <w:bookmarkStart w:id="9" w:name="O_945709"/>
      <w:bookmarkEnd w:id="9"/>
      <w:r w:rsidRPr="007721C2">
        <w:t>Links</w:t>
      </w:r>
    </w:p>
    <w:p w:rsidR="00000000" w:rsidRPr="007721C2" w:rsidP="00903481">
      <w:pPr>
        <w:pStyle w:val="BodyText"/>
      </w:pPr>
      <w:r w:rsidRPr="007721C2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417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721C2" w:rsidP="007721C2"/>
    <w:sectPr w:rsidSect="00772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C2" w:rsidRPr="00903481" w:rsidP="00903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81" w:rsidP="00772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481" w:rsidP="00772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3481" w:rsidP="00772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1C2" w:rsidRPr="00903481" w:rsidP="00903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81" w:rsidRPr="002D2AF8" w:rsidP="00772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MEM30008 Apply basic economic and ergonomic concepts to evaluate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03481" w:rsidP="00772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522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741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A05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1C2"/>
  </w:style>
  <w:style w:type="character" w:customStyle="1" w:styleId="Heading1Char">
    <w:name w:val="Heading 1 Char"/>
    <w:basedOn w:val="DefaultParagraphFont"/>
    <w:link w:val="Heading1"/>
    <w:rsid w:val="00772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1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1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1C2"/>
    <w:rPr>
      <w:b/>
      <w:spacing w:val="0"/>
    </w:rPr>
  </w:style>
  <w:style w:type="paragraph" w:styleId="ListBullet2">
    <w:name w:val="List Bullet 2"/>
    <w:basedOn w:val="List2"/>
    <w:rsid w:val="007721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21C2"/>
    <w:rPr>
      <w:i/>
    </w:rPr>
  </w:style>
  <w:style w:type="paragraph" w:customStyle="1" w:styleId="SuperHeading">
    <w:name w:val="SuperHeading"/>
    <w:basedOn w:val="Normal"/>
    <w:rsid w:val="00772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1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1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2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1C2"/>
  </w:style>
  <w:style w:type="paragraph" w:styleId="TableofFigures">
    <w:name w:val="table of figures"/>
    <w:basedOn w:val="Normal"/>
    <w:next w:val="Normal"/>
    <w:semiHidden/>
    <w:rsid w:val="00772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1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21C2"/>
    <w:rPr>
      <w:rFonts w:ascii="Wingdings" w:hAnsi="Wingdings"/>
    </w:rPr>
  </w:style>
  <w:style w:type="paragraph" w:customStyle="1" w:styleId="TableHeading">
    <w:name w:val="Table Heading"/>
    <w:basedOn w:val="HeadingBase"/>
    <w:rsid w:val="00772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1C2"/>
    <w:rPr>
      <w:color w:val="0033CC"/>
      <w:u w:val="none"/>
    </w:rPr>
  </w:style>
  <w:style w:type="paragraph" w:customStyle="1" w:styleId="BodyTextRight">
    <w:name w:val="Body Text Right"/>
    <w:basedOn w:val="BodyText"/>
    <w:rsid w:val="00772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1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1C2"/>
    <w:rPr>
      <w:sz w:val="32"/>
    </w:rPr>
  </w:style>
  <w:style w:type="paragraph" w:customStyle="1" w:styleId="HeadingProcedure">
    <w:name w:val="Heading Procedure"/>
    <w:basedOn w:val="HeadingBase"/>
    <w:next w:val="Normal"/>
    <w:rsid w:val="00772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1C2"/>
    <w:pPr>
      <w:spacing w:before="60" w:after="60"/>
    </w:pPr>
  </w:style>
  <w:style w:type="paragraph" w:styleId="ListContinue">
    <w:name w:val="List Continue"/>
    <w:basedOn w:val="List"/>
    <w:rsid w:val="007721C2"/>
    <w:pPr>
      <w:ind w:firstLine="0"/>
    </w:pPr>
  </w:style>
  <w:style w:type="paragraph" w:customStyle="1" w:styleId="ListNote">
    <w:name w:val="List Note"/>
    <w:basedOn w:val="List"/>
    <w:rsid w:val="00772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1C2"/>
    <w:rPr>
      <w:rFonts w:ascii="Courier New" w:hAnsi="Courier New"/>
    </w:rPr>
  </w:style>
  <w:style w:type="paragraph" w:customStyle="1" w:styleId="NoteBullet">
    <w:name w:val="Note Bullet"/>
    <w:basedOn w:val="Note"/>
    <w:rsid w:val="00772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1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1C2"/>
    <w:rPr>
      <w:b/>
      <w:smallCaps/>
    </w:rPr>
  </w:style>
  <w:style w:type="paragraph" w:customStyle="1" w:styleId="TableListNumber">
    <w:name w:val="Table List Number"/>
    <w:basedOn w:val="ListNumber"/>
    <w:rsid w:val="00772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1C2"/>
    <w:pPr>
      <w:numPr>
        <w:numId w:val="9"/>
      </w:numPr>
    </w:pPr>
  </w:style>
  <w:style w:type="paragraph" w:customStyle="1" w:styleId="ListAlpha2">
    <w:name w:val="List Alpha 2"/>
    <w:basedOn w:val="List2"/>
    <w:rsid w:val="007721C2"/>
    <w:pPr>
      <w:numPr>
        <w:numId w:val="8"/>
      </w:numPr>
    </w:pPr>
  </w:style>
  <w:style w:type="paragraph" w:styleId="List2">
    <w:name w:val="List 2"/>
    <w:basedOn w:val="BodyText"/>
    <w:rsid w:val="00772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1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1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21C2"/>
    <w:pPr>
      <w:numPr>
        <w:numId w:val="4"/>
      </w:numPr>
    </w:pPr>
  </w:style>
  <w:style w:type="paragraph" w:styleId="ListContinue2">
    <w:name w:val="List Continue 2"/>
    <w:basedOn w:val="List2"/>
    <w:rsid w:val="007721C2"/>
    <w:pPr>
      <w:ind w:firstLine="0"/>
    </w:pPr>
  </w:style>
  <w:style w:type="paragraph" w:styleId="ListContinue3">
    <w:name w:val="List Continue 3"/>
    <w:basedOn w:val="List3"/>
    <w:rsid w:val="007721C2"/>
    <w:pPr>
      <w:ind w:left="1021" w:firstLine="0"/>
    </w:pPr>
  </w:style>
  <w:style w:type="paragraph" w:styleId="ListContinue4">
    <w:name w:val="List Continue 4"/>
    <w:basedOn w:val="List4"/>
    <w:rsid w:val="007721C2"/>
    <w:pPr>
      <w:ind w:firstLine="0"/>
    </w:pPr>
  </w:style>
  <w:style w:type="paragraph" w:styleId="ListContinue5">
    <w:name w:val="List Continue 5"/>
    <w:basedOn w:val="List5"/>
    <w:rsid w:val="007721C2"/>
    <w:pPr>
      <w:ind w:firstLine="0"/>
    </w:pPr>
  </w:style>
  <w:style w:type="paragraph" w:styleId="ListNumber3">
    <w:name w:val="List Number 3"/>
    <w:basedOn w:val="List3"/>
    <w:rsid w:val="007721C2"/>
    <w:pPr>
      <w:numPr>
        <w:numId w:val="5"/>
      </w:numPr>
    </w:pPr>
  </w:style>
  <w:style w:type="paragraph" w:styleId="ListNumber4">
    <w:name w:val="List Number 4"/>
    <w:basedOn w:val="List4"/>
    <w:rsid w:val="007721C2"/>
    <w:pPr>
      <w:numPr>
        <w:numId w:val="6"/>
      </w:numPr>
    </w:pPr>
  </w:style>
  <w:style w:type="paragraph" w:styleId="ListNumber5">
    <w:name w:val="List Number 5"/>
    <w:basedOn w:val="List5"/>
    <w:rsid w:val="007721C2"/>
    <w:pPr>
      <w:numPr>
        <w:numId w:val="7"/>
      </w:numPr>
    </w:pPr>
  </w:style>
  <w:style w:type="paragraph" w:styleId="BlockText">
    <w:name w:val="Block Text"/>
    <w:basedOn w:val="Normal"/>
    <w:rsid w:val="00772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1C2"/>
    <w:rPr>
      <w:sz w:val="16"/>
      <w:vertAlign w:val="superscript"/>
    </w:rPr>
  </w:style>
  <w:style w:type="character" w:customStyle="1" w:styleId="Symbols">
    <w:name w:val="Symbols"/>
    <w:basedOn w:val="DefaultParagraphFont"/>
    <w:rsid w:val="007721C2"/>
    <w:rPr>
      <w:rFonts w:ascii="Symbol" w:hAnsi="Symbol"/>
    </w:rPr>
  </w:style>
  <w:style w:type="character" w:customStyle="1" w:styleId="MenuOptions">
    <w:name w:val="Menu Options"/>
    <w:basedOn w:val="DefaultParagraphFont"/>
    <w:rsid w:val="00772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1C2"/>
    <w:rPr>
      <w:b/>
    </w:rPr>
  </w:style>
  <w:style w:type="character" w:customStyle="1" w:styleId="Underlined">
    <w:name w:val="Underlined"/>
    <w:basedOn w:val="DefaultParagraphFont"/>
    <w:rsid w:val="007721C2"/>
    <w:rPr>
      <w:u w:val="single"/>
    </w:rPr>
  </w:style>
  <w:style w:type="paragraph" w:customStyle="1" w:styleId="TableBodyTextRight">
    <w:name w:val="Table Body Text Right"/>
    <w:basedOn w:val="TableBodyText"/>
    <w:rsid w:val="00772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1C2"/>
    <w:rPr>
      <w:sz w:val="18"/>
    </w:rPr>
  </w:style>
  <w:style w:type="paragraph" w:customStyle="1" w:styleId="BodySmallRight">
    <w:name w:val="Body Small Right"/>
    <w:basedOn w:val="BodyTextRight"/>
    <w:rsid w:val="007721C2"/>
    <w:rPr>
      <w:sz w:val="18"/>
      <w:szCs w:val="18"/>
    </w:rPr>
  </w:style>
  <w:style w:type="paragraph" w:customStyle="1" w:styleId="MarginEdition">
    <w:name w:val="Margin Edition"/>
    <w:basedOn w:val="MarginNote"/>
    <w:rsid w:val="00772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1C2"/>
    <w:rPr>
      <w:sz w:val="2"/>
      <w:szCs w:val="2"/>
    </w:rPr>
  </w:style>
  <w:style w:type="character" w:customStyle="1" w:styleId="Small">
    <w:name w:val="Small"/>
    <w:basedOn w:val="DefaultParagraphFont"/>
    <w:rsid w:val="007721C2"/>
    <w:rPr>
      <w:sz w:val="16"/>
    </w:rPr>
  </w:style>
  <w:style w:type="paragraph" w:customStyle="1" w:styleId="WideTable">
    <w:name w:val="Wide Table"/>
    <w:basedOn w:val="Normal"/>
    <w:rsid w:val="00772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1C2"/>
  </w:style>
  <w:style w:type="paragraph" w:styleId="Quote">
    <w:name w:val="Quote"/>
    <w:basedOn w:val="Heading1"/>
    <w:link w:val="QuoteChar"/>
    <w:qFormat/>
    <w:rsid w:val="00772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1C2"/>
    <w:pPr>
      <w:pageBreakBefore/>
    </w:pPr>
  </w:style>
  <w:style w:type="paragraph" w:customStyle="1" w:styleId="Border">
    <w:name w:val="Border"/>
    <w:basedOn w:val="Normal"/>
    <w:qFormat/>
    <w:rsid w:val="00772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1C2"/>
    <w:rPr>
      <w:u w:val="single"/>
    </w:rPr>
  </w:style>
  <w:style w:type="character" w:customStyle="1" w:styleId="BoldandItalics">
    <w:name w:val="Bold and Italics"/>
    <w:qFormat/>
    <w:rsid w:val="007721C2"/>
    <w:rPr>
      <w:b/>
      <w:i/>
      <w:u w:val="none"/>
    </w:rPr>
  </w:style>
  <w:style w:type="paragraph" w:styleId="BalloonText">
    <w:name w:val="Balloon Text"/>
    <w:basedOn w:val="Normal"/>
    <w:link w:val="BalloonTextChar"/>
    <w:rsid w:val="00772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1C2"/>
    <w:pPr>
      <w:spacing w:before="0" w:after="0"/>
    </w:pPr>
  </w:style>
  <w:style w:type="paragraph" w:customStyle="1" w:styleId="BodyTextBold">
    <w:name w:val="Body Text Bold"/>
    <w:basedOn w:val="BodyText"/>
    <w:qFormat/>
    <w:rsid w:val="007721C2"/>
    <w:rPr>
      <w:b/>
    </w:rPr>
  </w:style>
  <w:style w:type="character" w:styleId="Hyperlink">
    <w:name w:val="Hyperlink"/>
    <w:basedOn w:val="DefaultParagraphFont"/>
    <w:uiPriority w:val="99"/>
    <w:unhideWhenUsed/>
    <w:rsid w:val="00903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4062</Characters>
  <Application>Microsoft Office Word</Application>
  <DocSecurity>0</DocSecurity>
  <Lines>140</Lines>
  <Paragraphs>99</Paragraphs>
  <ScaleCrop>false</ScaleCrop>
  <Company>Author-it Software Corporation Ltd.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MEM30008 Apply basic economic and ergonomic concepts to evaluate engineering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