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97E" w:rsidP="00971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MEM29012 Access and use a digital twin for operational purposes</w:t>
      </w:r>
      <w:r>
        <w:fldChar w:fldCharType="end"/>
      </w:r>
    </w:p>
    <w:p w:rsidR="0097197E" w:rsidP="0097197E">
      <w:pPr>
        <w:pStyle w:val="Version"/>
        <w:sectPr w:rsidSect="00DF57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702" w:rsidP="00DF5702">
      <w:pPr>
        <w:pStyle w:val="SuperHeading"/>
      </w:pPr>
      <w:r w:rsidRPr="00DF5702">
        <w:t>Assessment Requirements for MEM29012 Access and use a digital twin for operational purposes</w:t>
      </w:r>
    </w:p>
    <w:p w:rsidR="00000000" w:rsidRPr="00DF5702" w:rsidP="00DF5702">
      <w:pPr>
        <w:pStyle w:val="Heading1"/>
      </w:pPr>
      <w:bookmarkStart w:id="1" w:name="O_1275168"/>
      <w:bookmarkEnd w:id="1"/>
      <w:r w:rsidRPr="00DF5702">
        <w:t>Modification History</w:t>
      </w:r>
    </w:p>
    <w:p w:rsidR="0097197E" w:rsidP="0097197E">
      <w:pPr>
        <w:pStyle w:val="BodyText"/>
      </w:pPr>
      <w:r w:rsidRPr="00DF5702">
        <w:t>Release 1. New unit.</w:t>
      </w:r>
    </w:p>
    <w:p w:rsidR="00000000" w:rsidRPr="00DF5702" w:rsidP="00DF5702">
      <w:pPr>
        <w:pStyle w:val="Heading1"/>
      </w:pPr>
      <w:bookmarkStart w:id="2" w:name="O_1275169"/>
      <w:bookmarkEnd w:id="2"/>
      <w:r w:rsidRPr="00DF5702">
        <w:t>Performance Evidence</w:t>
      </w:r>
    </w:p>
    <w:p w:rsidR="00000000" w:rsidRPr="00DF5702" w:rsidP="0097197E">
      <w:pPr>
        <w:pStyle w:val="BodyText"/>
      </w:pPr>
      <w:r w:rsidRPr="00DF5702">
        <w:t>There must be evidence the candidate has demonstrated the ability to:</w:t>
      </w:r>
    </w:p>
    <w:p w:rsidR="00000000" w:rsidRPr="00DF5702" w:rsidP="00DF5702">
      <w:pPr>
        <w:pStyle w:val="ListBullet"/>
      </w:pPr>
      <w:r w:rsidRPr="00DF5702">
        <w:t>follow cyber security protocols for accessing a digital twin</w:t>
      </w:r>
    </w:p>
    <w:p w:rsidR="00000000" w:rsidRPr="00DF5702" w:rsidP="00DF5702">
      <w:pPr>
        <w:pStyle w:val="ListBullet"/>
      </w:pPr>
      <w:r w:rsidRPr="00DF5702">
        <w:t xml:space="preserve">access digital twin dashboard, functional layers and test modes on at least two occasions </w:t>
      </w:r>
    </w:p>
    <w:p w:rsidR="00000000" w:rsidRPr="00DF5702" w:rsidP="00DF5702">
      <w:pPr>
        <w:pStyle w:val="ListBullet"/>
      </w:pPr>
      <w:r w:rsidRPr="00DF5702">
        <w:t>use digital twin to access curren</w:t>
      </w:r>
      <w:r w:rsidRPr="00DF5702">
        <w:t>t or historical component or equipment condition monitoring-related data</w:t>
      </w:r>
    </w:p>
    <w:p w:rsidR="00000000" w:rsidRPr="00DF5702" w:rsidP="00DF5702">
      <w:pPr>
        <w:pStyle w:val="ListBullet"/>
      </w:pPr>
      <w:r w:rsidRPr="00DF5702">
        <w:t>use a digital twin for predictive analysis of manufacturing scenario</w:t>
      </w:r>
    </w:p>
    <w:p w:rsidR="00000000" w:rsidRPr="00DF5702" w:rsidP="00DF5702">
      <w:pPr>
        <w:pStyle w:val="ListBullet"/>
      </w:pPr>
      <w:r w:rsidRPr="00DF5702">
        <w:t>map and fault-find data pathways to and from sensors linked to physical objects and a digital twin.</w:t>
      </w:r>
    </w:p>
    <w:p w:rsidR="0097197E" w:rsidRPr="0097197E" w:rsidP="0097197E">
      <w:pPr>
        <w:pStyle w:val="BodyText"/>
        <w:rPr>
          <w:i/>
        </w:rPr>
      </w:pPr>
      <w:r w:rsidRPr="0097197E">
        <w:rPr>
          <w:rStyle w:val="Emphasis"/>
        </w:rPr>
        <w:t xml:space="preserve">Note: Where a </w:t>
      </w:r>
      <w:r w:rsidRPr="0097197E">
        <w:rPr>
          <w:rStyle w:val="Emphasis"/>
        </w:rPr>
        <w:t>volume and/or frequency is not specified, demonstration must be provided at least once.</w:t>
      </w:r>
    </w:p>
    <w:p w:rsidR="00000000" w:rsidRPr="00DF5702" w:rsidP="00DF5702">
      <w:pPr>
        <w:pStyle w:val="Heading1"/>
      </w:pPr>
      <w:bookmarkStart w:id="3" w:name="O_1275170"/>
      <w:bookmarkEnd w:id="3"/>
      <w:r w:rsidRPr="00DF5702">
        <w:t>Knowledge Evidence</w:t>
      </w:r>
    </w:p>
    <w:p w:rsidR="00000000" w:rsidRPr="00DF5702" w:rsidP="0097197E">
      <w:pPr>
        <w:pStyle w:val="BodyText"/>
      </w:pPr>
      <w:r w:rsidRPr="00DF5702">
        <w:t>There must be evidence the candidate has knowledge of:</w:t>
      </w:r>
    </w:p>
    <w:p w:rsidR="00000000" w:rsidRPr="00DF5702" w:rsidP="00DF5702">
      <w:pPr>
        <w:pStyle w:val="ListBullet"/>
      </w:pPr>
      <w:r w:rsidRPr="00DF5702">
        <w:t>typical uses of digital twins in manufacturing and engineering including:</w:t>
      </w:r>
    </w:p>
    <w:p w:rsidR="00000000" w:rsidRPr="00DF5702" w:rsidP="00DF5702">
      <w:pPr>
        <w:pStyle w:val="ListBullet2"/>
      </w:pPr>
      <w:r w:rsidRPr="00DF5702">
        <w:t>prototype analysis</w:t>
      </w:r>
    </w:p>
    <w:p w:rsidR="00000000" w:rsidRPr="00DF5702" w:rsidP="00DF5702">
      <w:pPr>
        <w:pStyle w:val="ListBullet2"/>
      </w:pPr>
      <w:r w:rsidRPr="00DF5702">
        <w:t>condition monitoring</w:t>
      </w:r>
    </w:p>
    <w:p w:rsidR="00000000" w:rsidRPr="00DF5702" w:rsidP="00DF5702">
      <w:pPr>
        <w:pStyle w:val="ListBullet2"/>
      </w:pPr>
      <w:r w:rsidRPr="00DF5702">
        <w:t>lifecycle analysis</w:t>
      </w:r>
    </w:p>
    <w:p w:rsidR="00000000" w:rsidRPr="00DF5702" w:rsidP="00DF5702">
      <w:pPr>
        <w:pStyle w:val="ListBullet2"/>
      </w:pPr>
      <w:r w:rsidRPr="00DF5702">
        <w:t>predictive modelling of scenarios, products or processes</w:t>
      </w:r>
    </w:p>
    <w:p w:rsidR="00000000" w:rsidRPr="00DF5702" w:rsidP="00DF5702">
      <w:pPr>
        <w:pStyle w:val="ListBullet2"/>
      </w:pPr>
      <w:r w:rsidRPr="00DF5702">
        <w:t>live monitoring of equipment and processes</w:t>
      </w:r>
    </w:p>
    <w:p w:rsidR="00000000" w:rsidRPr="00DF5702" w:rsidP="00DF5702">
      <w:pPr>
        <w:pStyle w:val="ListBullet2"/>
      </w:pPr>
      <w:r w:rsidRPr="00DF5702">
        <w:t>supply chain visualisation</w:t>
      </w:r>
    </w:p>
    <w:p w:rsidR="00000000" w:rsidRPr="00DF5702" w:rsidP="00DF5702">
      <w:pPr>
        <w:pStyle w:val="ListBullet2"/>
      </w:pPr>
      <w:r w:rsidRPr="00DF5702">
        <w:t>advanced analytics</w:t>
      </w:r>
    </w:p>
    <w:p w:rsidR="00000000" w:rsidRPr="00DF5702" w:rsidP="00DF5702">
      <w:pPr>
        <w:pStyle w:val="ListBullet"/>
      </w:pPr>
      <w:r w:rsidRPr="00DF5702">
        <w:t>sources of data for digital twins including:</w:t>
      </w:r>
    </w:p>
    <w:p w:rsidR="00000000" w:rsidRPr="00DF5702" w:rsidP="00DF5702">
      <w:pPr>
        <w:pStyle w:val="ListBullet2"/>
      </w:pPr>
      <w:r w:rsidRPr="00DF5702">
        <w:t>design specifications</w:t>
      </w:r>
    </w:p>
    <w:p w:rsidR="00000000" w:rsidRPr="00DF5702" w:rsidP="00DF5702">
      <w:pPr>
        <w:pStyle w:val="ListBullet2"/>
      </w:pPr>
      <w:r w:rsidRPr="00DF5702">
        <w:t>production, maintenance and quality reports</w:t>
      </w:r>
    </w:p>
    <w:p w:rsidR="00000000" w:rsidRPr="00DF5702" w:rsidP="00DF5702">
      <w:pPr>
        <w:pStyle w:val="ListBullet2"/>
      </w:pPr>
      <w:r w:rsidRPr="00DF5702">
        <w:t xml:space="preserve">business data including customer feedback </w:t>
      </w:r>
    </w:p>
    <w:p w:rsidR="00000000" w:rsidRPr="00DF5702" w:rsidP="00DF5702">
      <w:pPr>
        <w:pStyle w:val="ListBullet2"/>
      </w:pPr>
      <w:r w:rsidRPr="00DF5702">
        <w:t>sensors</w:t>
      </w:r>
    </w:p>
    <w:p w:rsidR="00000000" w:rsidRPr="00DF5702" w:rsidP="00DF5702">
      <w:pPr>
        <w:pStyle w:val="ListBullet2"/>
      </w:pPr>
      <w:r w:rsidRPr="00DF5702">
        <w:t xml:space="preserve">real time and historical SCADA and IIoT data </w:t>
      </w:r>
    </w:p>
    <w:p w:rsidR="00000000" w:rsidRPr="00DF5702" w:rsidP="00DF5702">
      <w:pPr>
        <w:pStyle w:val="ListBullet"/>
      </w:pPr>
      <w:r w:rsidRPr="00DF5702">
        <w:t>types and scope of digital twins including:</w:t>
      </w:r>
    </w:p>
    <w:p w:rsidR="00000000" w:rsidRPr="00DF5702" w:rsidP="00DF5702">
      <w:pPr>
        <w:pStyle w:val="ListBullet2"/>
      </w:pPr>
      <w:r w:rsidRPr="00DF5702">
        <w:t>prototype digital twins created to model a prod</w:t>
      </w:r>
      <w:r w:rsidRPr="00DF5702">
        <w:t>uct or process before it is created</w:t>
      </w:r>
    </w:p>
    <w:p w:rsidR="00000000" w:rsidRPr="00DF5702" w:rsidP="00DF5702">
      <w:pPr>
        <w:pStyle w:val="ListBullet2"/>
      </w:pPr>
      <w:r w:rsidRPr="00DF5702">
        <w:t>component digital twins</w:t>
      </w:r>
    </w:p>
    <w:p w:rsidR="00000000" w:rsidRPr="00DF5702" w:rsidP="00DF5702">
      <w:pPr>
        <w:pStyle w:val="ListBullet2"/>
      </w:pPr>
      <w:r w:rsidRPr="00DF5702">
        <w:t>machine, process or system level digital twins allowing interactions to be visualised and scenarios modelled</w:t>
      </w:r>
    </w:p>
    <w:p w:rsidR="00000000" w:rsidRPr="00DF5702" w:rsidP="00DF5702">
      <w:pPr>
        <w:pStyle w:val="ListBullet"/>
      </w:pPr>
      <w:r w:rsidRPr="00DF5702">
        <w:t>two-way communication processes and protocols between digital twins and physical objects and processes</w:t>
      </w:r>
    </w:p>
    <w:p w:rsidR="00000000" w:rsidRPr="00DF5702" w:rsidP="00DF5702">
      <w:pPr>
        <w:pStyle w:val="ListBullet"/>
      </w:pPr>
      <w:r w:rsidRPr="00DF5702">
        <w:t>processes for checking and harmonising digital twin data with other physical sources of data in the workplace including data generated from SCADA and IIo</w:t>
      </w:r>
      <w:r w:rsidRPr="00DF5702">
        <w:t>T systems and devices</w:t>
      </w:r>
    </w:p>
    <w:p w:rsidR="00000000" w:rsidRPr="00DF5702" w:rsidP="00DF5702">
      <w:pPr>
        <w:pStyle w:val="ListBullet"/>
      </w:pPr>
      <w:r w:rsidRPr="00DF5702">
        <w:t>cyber security protocols associated with digital twins</w:t>
      </w:r>
    </w:p>
    <w:p w:rsidR="00000000" w:rsidRPr="00DF5702" w:rsidP="00DF5702">
      <w:pPr>
        <w:pStyle w:val="ListBullet"/>
      </w:pPr>
      <w:r w:rsidRPr="00DF5702">
        <w:t>advantages of using a digital twin for data and modelling over physical assets including:</w:t>
      </w:r>
    </w:p>
    <w:p w:rsidR="00000000" w:rsidRPr="00DF5702" w:rsidP="00DF5702">
      <w:pPr>
        <w:pStyle w:val="ListBullet2"/>
      </w:pPr>
      <w:r w:rsidRPr="00DF5702">
        <w:t>safety</w:t>
      </w:r>
    </w:p>
    <w:p w:rsidR="00000000" w:rsidRPr="00DF5702" w:rsidP="00DF5702">
      <w:pPr>
        <w:pStyle w:val="ListBullet2"/>
      </w:pPr>
      <w:r w:rsidRPr="00DF5702">
        <w:t>potential longer life</w:t>
      </w:r>
    </w:p>
    <w:p w:rsidR="00000000" w:rsidRPr="00DF5702" w:rsidP="00DF5702">
      <w:pPr>
        <w:pStyle w:val="ListBullet2"/>
      </w:pPr>
      <w:r w:rsidRPr="00DF5702">
        <w:t>lower operating cost</w:t>
      </w:r>
    </w:p>
    <w:p w:rsidR="00000000" w:rsidRPr="00DF5702" w:rsidP="00DF5702">
      <w:pPr>
        <w:pStyle w:val="ListBullet2"/>
      </w:pPr>
      <w:r w:rsidRPr="00DF5702">
        <w:t>ability of a digital twin to visualise</w:t>
      </w:r>
      <w:r w:rsidRPr="00DF5702">
        <w:t xml:space="preserve"> processes and provide information transparency in situations where obtaining data from the physical object or process is:</w:t>
      </w:r>
    </w:p>
    <w:p w:rsidR="00000000" w:rsidRPr="00DF5702" w:rsidP="00DF5702">
      <w:pPr>
        <w:pStyle w:val="ListBullet3"/>
      </w:pPr>
      <w:r w:rsidRPr="00DF5702">
        <w:t>too dangerous</w:t>
      </w:r>
    </w:p>
    <w:p w:rsidR="00000000" w:rsidRPr="00DF5702" w:rsidP="00DF5702">
      <w:pPr>
        <w:pStyle w:val="ListBullet3"/>
      </w:pPr>
      <w:r w:rsidRPr="00DF5702">
        <w:t>too costly</w:t>
      </w:r>
    </w:p>
    <w:p w:rsidR="00000000" w:rsidRPr="00DF5702" w:rsidP="00DF5702">
      <w:pPr>
        <w:pStyle w:val="ListBullet3"/>
      </w:pPr>
      <w:r w:rsidRPr="00DF5702">
        <w:t>not possible without shutting down the equipment or process</w:t>
      </w:r>
    </w:p>
    <w:p w:rsidR="00000000" w:rsidRPr="00DF5702" w:rsidP="00DF5702">
      <w:pPr>
        <w:pStyle w:val="ListBullet3"/>
      </w:pPr>
      <w:r w:rsidRPr="00DF5702">
        <w:t>unlikely to give the same degree of detail or accuracy as the digital twin</w:t>
      </w:r>
    </w:p>
    <w:p w:rsidR="00000000" w:rsidRPr="00DF5702" w:rsidP="00DF5702">
      <w:pPr>
        <w:pStyle w:val="ListBullet"/>
      </w:pPr>
      <w:r w:rsidRPr="00DF5702">
        <w:t>situations where use or creation of a digital twin may be inappropriate:</w:t>
      </w:r>
    </w:p>
    <w:p w:rsidR="00000000" w:rsidRPr="00DF5702" w:rsidP="00DF5702">
      <w:pPr>
        <w:pStyle w:val="ListBullet2"/>
      </w:pPr>
      <w:r w:rsidRPr="00DF5702">
        <w:t xml:space="preserve">a sufficient or regular flow of data to support the digital twin is not available </w:t>
      </w:r>
    </w:p>
    <w:p w:rsidR="00000000" w:rsidRPr="00DF5702" w:rsidP="00DF5702">
      <w:pPr>
        <w:pStyle w:val="ListBullet2"/>
      </w:pPr>
      <w:r w:rsidRPr="00DF5702">
        <w:t xml:space="preserve">the physical object or </w:t>
      </w:r>
      <w:r w:rsidRPr="00DF5702">
        <w:t>process is not sufficiently complex to support a digital twin</w:t>
      </w:r>
    </w:p>
    <w:p w:rsidR="0097197E" w:rsidP="00DF5702">
      <w:pPr>
        <w:pStyle w:val="ListBullet2"/>
      </w:pPr>
      <w:r w:rsidRPr="00DF5702">
        <w:t>the cost of creating and maintaining the digital twin is not worth the return.</w:t>
      </w:r>
    </w:p>
    <w:p w:rsidR="0097197E" w:rsidP="00DF5702">
      <w:pPr>
        <w:pStyle w:val="ListBullet2"/>
      </w:pPr>
    </w:p>
    <w:p w:rsidR="00000000" w:rsidRPr="00DF5702" w:rsidP="00DF5702">
      <w:pPr>
        <w:pStyle w:val="Heading1"/>
      </w:pPr>
      <w:bookmarkStart w:id="4" w:name="O_1275171"/>
      <w:bookmarkEnd w:id="4"/>
      <w:r w:rsidRPr="00DF5702">
        <w:t>Assessment Conditions</w:t>
      </w:r>
    </w:p>
    <w:p w:rsidR="00000000" w:rsidRPr="00DF5702" w:rsidP="00DF5702">
      <w:pPr>
        <w:pStyle w:val="ListBullet"/>
      </w:pPr>
      <w:r w:rsidRPr="00DF5702">
        <w:t>Assessors must:</w:t>
      </w:r>
    </w:p>
    <w:p w:rsidR="00000000" w:rsidRPr="00DF5702" w:rsidP="00DF5702">
      <w:pPr>
        <w:pStyle w:val="ListBullet2"/>
      </w:pPr>
      <w:r w:rsidRPr="00DF5702">
        <w:t>have vocational competency in accessing and using a digital twin for operational purposes at least to the level being assessed with relevant industry knowledge and experience</w:t>
      </w:r>
    </w:p>
    <w:p w:rsidR="00000000" w:rsidRPr="00DF5702" w:rsidP="00DF5702">
      <w:pPr>
        <w:pStyle w:val="ListBullet2"/>
      </w:pPr>
      <w:r w:rsidRPr="00DF5702">
        <w:t xml:space="preserve">satisfy the assessor requirements in the </w:t>
      </w:r>
      <w:r w:rsidRPr="00DF5702">
        <w:rPr>
          <w:rStyle w:val="Emphasis"/>
        </w:rPr>
        <w:t>Standards for Registered Training Organi</w:t>
      </w:r>
      <w:r w:rsidRPr="00DF5702">
        <w:rPr>
          <w:rStyle w:val="Emphasis"/>
        </w:rPr>
        <w:t>sations 2015</w:t>
      </w:r>
      <w:r w:rsidRPr="00DF5702">
        <w:t xml:space="preserve"> or its replacement and comply with the </w:t>
      </w:r>
      <w:r w:rsidRPr="00DF5702">
        <w:rPr>
          <w:rStyle w:val="Emphasis"/>
        </w:rPr>
        <w:t>National Vocational Education and Training Regulator Act 2011</w:t>
      </w:r>
      <w:r w:rsidRPr="00DF5702">
        <w:t>, its replacement or equivalent legislation covering VET regulation in a non-referring state/territory as the case requires.</w:t>
      </w:r>
    </w:p>
    <w:p w:rsidR="00000000" w:rsidRPr="00DF5702" w:rsidP="00DF5702">
      <w:pPr>
        <w:pStyle w:val="ListBullet"/>
      </w:pPr>
      <w:r w:rsidRPr="00DF5702">
        <w:t>Where possible, a</w:t>
      </w:r>
      <w:r w:rsidRPr="00DF5702">
        <w:t>ssessment must occur in operational workplace situations. Where this is not possible or where personal safety or environmental damage are limiting factors, assessment must occur in a sufficiently rigorous simulated environment that reflects realistic opera</w:t>
      </w:r>
      <w:r w:rsidRPr="00DF5702">
        <w:t>tional workplace conditions that cover all aspects of workplace performance, including environment, task skills, task management skills, contingency management skills and job role environment skills.</w:t>
      </w:r>
    </w:p>
    <w:p w:rsidR="00000000" w:rsidRPr="00DF5702" w:rsidP="00DF5702">
      <w:pPr>
        <w:pStyle w:val="ListBullet"/>
      </w:pPr>
      <w:r w:rsidRPr="00DF5702">
        <w:t xml:space="preserve">There must be access to all tools, equipment, materials </w:t>
      </w:r>
      <w:r w:rsidRPr="00DF5702">
        <w:t>and documentation required, including relevant workplace procedures, product and manufacturing specifications.</w:t>
      </w:r>
    </w:p>
    <w:p w:rsidR="0097197E" w:rsidP="00DF5702">
      <w:pPr>
        <w:pStyle w:val="ListBullet"/>
      </w:pPr>
      <w:r w:rsidRPr="00DF5702">
        <w:t>Assessment processes and techniques must be appropriate to the language, literacy and numeracy requirements of the work being performed and the n</w:t>
      </w:r>
      <w:r w:rsidRPr="00DF5702">
        <w:t>eeds of the candidate.</w:t>
      </w:r>
    </w:p>
    <w:p w:rsidR="0097197E" w:rsidP="00DF5702">
      <w:pPr>
        <w:pStyle w:val="ListBullet"/>
      </w:pPr>
    </w:p>
    <w:p w:rsidR="00000000" w:rsidRPr="00DF5702" w:rsidP="00DF5702">
      <w:pPr>
        <w:pStyle w:val="Heading1"/>
      </w:pPr>
      <w:bookmarkStart w:id="5" w:name="O_1275174"/>
      <w:bookmarkEnd w:id="5"/>
      <w:r w:rsidRPr="00DF5702">
        <w:t>Links</w:t>
      </w:r>
    </w:p>
    <w:p w:rsidR="00000000" w:rsidRPr="00DF5702" w:rsidP="0097197E">
      <w:pPr>
        <w:pStyle w:val="BodyText"/>
      </w:pPr>
      <w:r w:rsidRPr="00DF57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F642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F5702" w:rsidP="00DF5702"/>
    <w:sectPr w:rsidSect="00DF57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02" w:rsidRPr="0097197E" w:rsidP="00971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97E" w:rsidP="00DF5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197E" w:rsidP="00DF5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7197E" w:rsidP="00DF57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702" w:rsidRPr="0097197E" w:rsidP="00971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97E" w:rsidRPr="002D2AF8" w:rsidP="00DF5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MEM29012 Access and use a digital twin for operational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7197E" w:rsidP="00DF57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C47F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E83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34D7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7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7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7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7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7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7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7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7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7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7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7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702"/>
  </w:style>
  <w:style w:type="character" w:customStyle="1" w:styleId="Heading1Char">
    <w:name w:val="Heading 1 Char"/>
    <w:basedOn w:val="DefaultParagraphFont"/>
    <w:link w:val="Heading1"/>
    <w:rsid w:val="00DF57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7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7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7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570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5702"/>
    <w:rPr>
      <w:i/>
    </w:rPr>
  </w:style>
  <w:style w:type="paragraph" w:customStyle="1" w:styleId="SuperHeading">
    <w:name w:val="SuperHeading"/>
    <w:basedOn w:val="Normal"/>
    <w:rsid w:val="00DF57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7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F57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57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7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7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7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7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7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7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7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7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7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7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7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7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7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7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7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5702"/>
    <w:rPr>
      <w:b/>
      <w:spacing w:val="0"/>
    </w:rPr>
  </w:style>
  <w:style w:type="paragraph" w:customStyle="1" w:styleId="SuperTitle">
    <w:name w:val="SuperTitle"/>
    <w:basedOn w:val="Title"/>
    <w:rsid w:val="00DF57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7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7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57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7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7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7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7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7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7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7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7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57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7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7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702"/>
  </w:style>
  <w:style w:type="paragraph" w:styleId="TableofFigures">
    <w:name w:val="table of figures"/>
    <w:basedOn w:val="Normal"/>
    <w:next w:val="Normal"/>
    <w:semiHidden/>
    <w:rsid w:val="00DF57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7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5702"/>
    <w:rPr>
      <w:rFonts w:ascii="Wingdings" w:hAnsi="Wingdings"/>
    </w:rPr>
  </w:style>
  <w:style w:type="paragraph" w:customStyle="1" w:styleId="TableHeading">
    <w:name w:val="Table Heading"/>
    <w:basedOn w:val="HeadingBase"/>
    <w:rsid w:val="00DF57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702"/>
    <w:rPr>
      <w:color w:val="0033CC"/>
      <w:u w:val="none"/>
    </w:rPr>
  </w:style>
  <w:style w:type="paragraph" w:customStyle="1" w:styleId="BodyTextRight">
    <w:name w:val="Body Text Right"/>
    <w:basedOn w:val="BodyText"/>
    <w:rsid w:val="00DF57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7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7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7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7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7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702"/>
    <w:rPr>
      <w:sz w:val="32"/>
    </w:rPr>
  </w:style>
  <w:style w:type="paragraph" w:customStyle="1" w:styleId="HeadingProcedure">
    <w:name w:val="Heading Procedure"/>
    <w:basedOn w:val="HeadingBase"/>
    <w:next w:val="Normal"/>
    <w:rsid w:val="00DF57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702"/>
    <w:pPr>
      <w:spacing w:before="60" w:after="60"/>
    </w:pPr>
  </w:style>
  <w:style w:type="paragraph" w:styleId="ListContinue">
    <w:name w:val="List Continue"/>
    <w:basedOn w:val="List"/>
    <w:rsid w:val="00DF5702"/>
    <w:pPr>
      <w:ind w:firstLine="0"/>
    </w:pPr>
  </w:style>
  <w:style w:type="paragraph" w:customStyle="1" w:styleId="ListNote">
    <w:name w:val="List Note"/>
    <w:basedOn w:val="List"/>
    <w:rsid w:val="00DF57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7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7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702"/>
    <w:rPr>
      <w:rFonts w:ascii="Courier New" w:hAnsi="Courier New"/>
    </w:rPr>
  </w:style>
  <w:style w:type="paragraph" w:customStyle="1" w:styleId="NoteBullet">
    <w:name w:val="Note Bullet"/>
    <w:basedOn w:val="Note"/>
    <w:rsid w:val="00DF57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7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7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7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7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57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7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702"/>
    <w:rPr>
      <w:b/>
      <w:smallCaps/>
    </w:rPr>
  </w:style>
  <w:style w:type="paragraph" w:customStyle="1" w:styleId="TableListNumber">
    <w:name w:val="Table List Number"/>
    <w:basedOn w:val="ListNumber"/>
    <w:rsid w:val="00DF57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7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702"/>
    <w:pPr>
      <w:numPr>
        <w:numId w:val="10"/>
      </w:numPr>
    </w:pPr>
  </w:style>
  <w:style w:type="paragraph" w:customStyle="1" w:styleId="ListAlpha2">
    <w:name w:val="List Alpha 2"/>
    <w:basedOn w:val="List2"/>
    <w:rsid w:val="00DF5702"/>
    <w:pPr>
      <w:numPr>
        <w:numId w:val="9"/>
      </w:numPr>
    </w:pPr>
  </w:style>
  <w:style w:type="paragraph" w:styleId="List2">
    <w:name w:val="List 2"/>
    <w:basedOn w:val="BodyText"/>
    <w:rsid w:val="00DF57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7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7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7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57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5702"/>
    <w:pPr>
      <w:numPr>
        <w:numId w:val="5"/>
      </w:numPr>
    </w:pPr>
  </w:style>
  <w:style w:type="paragraph" w:styleId="ListContinue2">
    <w:name w:val="List Continue 2"/>
    <w:basedOn w:val="List2"/>
    <w:rsid w:val="00DF5702"/>
    <w:pPr>
      <w:ind w:firstLine="0"/>
    </w:pPr>
  </w:style>
  <w:style w:type="paragraph" w:styleId="ListContinue3">
    <w:name w:val="List Continue 3"/>
    <w:basedOn w:val="List3"/>
    <w:rsid w:val="00DF5702"/>
    <w:pPr>
      <w:ind w:left="1021" w:firstLine="0"/>
    </w:pPr>
  </w:style>
  <w:style w:type="paragraph" w:styleId="ListContinue4">
    <w:name w:val="List Continue 4"/>
    <w:basedOn w:val="List4"/>
    <w:rsid w:val="00DF5702"/>
    <w:pPr>
      <w:ind w:firstLine="0"/>
    </w:pPr>
  </w:style>
  <w:style w:type="paragraph" w:styleId="ListContinue5">
    <w:name w:val="List Continue 5"/>
    <w:basedOn w:val="List5"/>
    <w:rsid w:val="00DF5702"/>
    <w:pPr>
      <w:ind w:firstLine="0"/>
    </w:pPr>
  </w:style>
  <w:style w:type="paragraph" w:styleId="ListNumber3">
    <w:name w:val="List Number 3"/>
    <w:basedOn w:val="List3"/>
    <w:rsid w:val="00DF5702"/>
    <w:pPr>
      <w:numPr>
        <w:numId w:val="6"/>
      </w:numPr>
    </w:pPr>
  </w:style>
  <w:style w:type="paragraph" w:styleId="ListNumber4">
    <w:name w:val="List Number 4"/>
    <w:basedOn w:val="List4"/>
    <w:rsid w:val="00DF5702"/>
    <w:pPr>
      <w:numPr>
        <w:numId w:val="7"/>
      </w:numPr>
    </w:pPr>
  </w:style>
  <w:style w:type="paragraph" w:styleId="ListNumber5">
    <w:name w:val="List Number 5"/>
    <w:basedOn w:val="List5"/>
    <w:rsid w:val="00DF5702"/>
    <w:pPr>
      <w:numPr>
        <w:numId w:val="8"/>
      </w:numPr>
    </w:pPr>
  </w:style>
  <w:style w:type="paragraph" w:styleId="BlockText">
    <w:name w:val="Block Text"/>
    <w:basedOn w:val="Normal"/>
    <w:rsid w:val="00DF57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7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702"/>
    <w:rPr>
      <w:sz w:val="16"/>
      <w:vertAlign w:val="superscript"/>
    </w:rPr>
  </w:style>
  <w:style w:type="character" w:customStyle="1" w:styleId="Symbols">
    <w:name w:val="Symbols"/>
    <w:basedOn w:val="DefaultParagraphFont"/>
    <w:rsid w:val="00DF5702"/>
    <w:rPr>
      <w:rFonts w:ascii="Symbol" w:hAnsi="Symbol"/>
    </w:rPr>
  </w:style>
  <w:style w:type="character" w:customStyle="1" w:styleId="MenuOptions">
    <w:name w:val="Menu Options"/>
    <w:basedOn w:val="DefaultParagraphFont"/>
    <w:rsid w:val="00DF57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702"/>
    <w:rPr>
      <w:b/>
    </w:rPr>
  </w:style>
  <w:style w:type="character" w:customStyle="1" w:styleId="Underlined">
    <w:name w:val="Underlined"/>
    <w:basedOn w:val="DefaultParagraphFont"/>
    <w:rsid w:val="00DF5702"/>
    <w:rPr>
      <w:u w:val="single"/>
    </w:rPr>
  </w:style>
  <w:style w:type="paragraph" w:customStyle="1" w:styleId="TableBodyTextRight">
    <w:name w:val="Table Body Text Right"/>
    <w:basedOn w:val="TableBodyText"/>
    <w:rsid w:val="00DF57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702"/>
    <w:rPr>
      <w:sz w:val="18"/>
    </w:rPr>
  </w:style>
  <w:style w:type="paragraph" w:customStyle="1" w:styleId="BodySmallRight">
    <w:name w:val="Body Small Right"/>
    <w:basedOn w:val="BodyTextRight"/>
    <w:rsid w:val="00DF5702"/>
    <w:rPr>
      <w:sz w:val="18"/>
      <w:szCs w:val="18"/>
    </w:rPr>
  </w:style>
  <w:style w:type="paragraph" w:customStyle="1" w:styleId="MarginEdition">
    <w:name w:val="Margin Edition"/>
    <w:basedOn w:val="MarginNote"/>
    <w:rsid w:val="00DF57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702"/>
    <w:rPr>
      <w:sz w:val="2"/>
      <w:szCs w:val="2"/>
    </w:rPr>
  </w:style>
  <w:style w:type="character" w:customStyle="1" w:styleId="Small">
    <w:name w:val="Small"/>
    <w:basedOn w:val="DefaultParagraphFont"/>
    <w:rsid w:val="00DF5702"/>
    <w:rPr>
      <w:sz w:val="16"/>
    </w:rPr>
  </w:style>
  <w:style w:type="paragraph" w:customStyle="1" w:styleId="WideTable">
    <w:name w:val="Wide Table"/>
    <w:basedOn w:val="Normal"/>
    <w:rsid w:val="00DF57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702"/>
  </w:style>
  <w:style w:type="paragraph" w:styleId="Quote">
    <w:name w:val="Quote"/>
    <w:basedOn w:val="Heading1"/>
    <w:link w:val="QuoteChar"/>
    <w:qFormat/>
    <w:rsid w:val="00DF57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7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702"/>
    <w:pPr>
      <w:pageBreakBefore/>
    </w:pPr>
  </w:style>
  <w:style w:type="paragraph" w:customStyle="1" w:styleId="Border">
    <w:name w:val="Border"/>
    <w:basedOn w:val="Normal"/>
    <w:qFormat/>
    <w:rsid w:val="00DF57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7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7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7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7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7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7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7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7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702"/>
    <w:rPr>
      <w:u w:val="single"/>
    </w:rPr>
  </w:style>
  <w:style w:type="character" w:customStyle="1" w:styleId="BoldandItalics">
    <w:name w:val="Bold and Italics"/>
    <w:qFormat/>
    <w:rsid w:val="00DF5702"/>
    <w:rPr>
      <w:b/>
      <w:i/>
      <w:u w:val="none"/>
    </w:rPr>
  </w:style>
  <w:style w:type="paragraph" w:styleId="BalloonText">
    <w:name w:val="Balloon Text"/>
    <w:basedOn w:val="Normal"/>
    <w:link w:val="BalloonTextChar"/>
    <w:rsid w:val="00DF5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7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7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7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7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7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702"/>
    <w:pPr>
      <w:spacing w:before="0" w:after="0"/>
    </w:pPr>
  </w:style>
  <w:style w:type="paragraph" w:customStyle="1" w:styleId="BodyTextBold">
    <w:name w:val="Body Text Bold"/>
    <w:basedOn w:val="BodyText"/>
    <w:qFormat/>
    <w:rsid w:val="00DF5702"/>
    <w:rPr>
      <w:b/>
    </w:rPr>
  </w:style>
  <w:style w:type="character" w:styleId="Hyperlink">
    <w:name w:val="Hyperlink"/>
    <w:basedOn w:val="DefaultParagraphFont"/>
    <w:uiPriority w:val="99"/>
    <w:unhideWhenUsed/>
    <w:rsid w:val="00971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3836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MEM29012 Access and use a digital twin for operational purposes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