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053" w:rsidP="00CB2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MEM29009 Prepare, configure and test collaborative robots for industrial operations</w:t>
      </w:r>
      <w:r>
        <w:fldChar w:fldCharType="end"/>
      </w:r>
    </w:p>
    <w:p w:rsidR="00CB2053" w:rsidP="00CB2053">
      <w:pPr>
        <w:pStyle w:val="Version"/>
        <w:sectPr w:rsidSect="001B71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160" w:rsidP="001B7160">
      <w:pPr>
        <w:pStyle w:val="SuperHeading"/>
      </w:pPr>
      <w:r w:rsidRPr="001B7160">
        <w:t>Assessment Requirements for MEM29009 Prepare, configure and test collaborative robots for industrial operations</w:t>
      </w:r>
    </w:p>
    <w:p w:rsidR="00000000" w:rsidRPr="001B7160" w:rsidP="001B7160">
      <w:pPr>
        <w:pStyle w:val="Heading1"/>
      </w:pPr>
      <w:bookmarkStart w:id="1" w:name="O_1275111"/>
      <w:bookmarkEnd w:id="1"/>
      <w:r w:rsidRPr="001B7160">
        <w:t>Modification History</w:t>
      </w:r>
    </w:p>
    <w:p w:rsidR="00000000" w:rsidRPr="001B7160" w:rsidP="00CB2053">
      <w:pPr>
        <w:pStyle w:val="BodyText"/>
      </w:pPr>
      <w:r w:rsidRPr="001B7160">
        <w:t>Not applicable.</w:t>
      </w:r>
    </w:p>
    <w:p w:rsidR="00000000" w:rsidRPr="001B7160" w:rsidP="001B7160">
      <w:pPr>
        <w:pStyle w:val="Heading1"/>
      </w:pPr>
      <w:bookmarkStart w:id="2" w:name="O_1275112"/>
      <w:bookmarkEnd w:id="2"/>
      <w:r w:rsidRPr="001B7160">
        <w:t>Performance Evidence</w:t>
      </w:r>
    </w:p>
    <w:p w:rsidR="00000000" w:rsidRPr="001B7160" w:rsidP="00CB2053">
      <w:pPr>
        <w:pStyle w:val="BodyText"/>
      </w:pPr>
      <w:r w:rsidRPr="001B7160">
        <w:t>There must be evidence the candidate has demonstrated the ability to:</w:t>
      </w:r>
    </w:p>
    <w:p w:rsidR="00000000" w:rsidRPr="001B7160" w:rsidP="001B7160">
      <w:pPr>
        <w:pStyle w:val="ListBullet"/>
      </w:pPr>
      <w:r w:rsidRPr="001B7160">
        <w:t>research latest technology developments in regard to collaborative robots within own area of responsibility</w:t>
      </w:r>
    </w:p>
    <w:p w:rsidR="00000000" w:rsidRPr="001B7160" w:rsidP="001B7160">
      <w:pPr>
        <w:pStyle w:val="ListBullet"/>
      </w:pPr>
      <w:r w:rsidRPr="001B7160">
        <w:t>assess at least two proposed workspaces for suitability for collaborative rob</w:t>
      </w:r>
      <w:r w:rsidRPr="001B7160">
        <w:t>ot operations</w:t>
      </w:r>
    </w:p>
    <w:p w:rsidR="00000000" w:rsidRPr="001B7160" w:rsidP="001B7160">
      <w:pPr>
        <w:pStyle w:val="ListBullet"/>
      </w:pPr>
      <w:r w:rsidRPr="001B7160">
        <w:t>establish the hardware features, specifications and system requirements of at least two collaborative robots</w:t>
      </w:r>
    </w:p>
    <w:p w:rsidR="00000000" w:rsidRPr="001B7160" w:rsidP="001B7160">
      <w:pPr>
        <w:pStyle w:val="ListBullet"/>
      </w:pPr>
      <w:r w:rsidRPr="001B7160">
        <w:t>select and prepare materials and components to set up a collaborative robot for at least two separate required tasks</w:t>
      </w:r>
    </w:p>
    <w:p w:rsidR="00000000" w:rsidRPr="001B7160" w:rsidP="001B7160">
      <w:pPr>
        <w:pStyle w:val="ListBullet"/>
      </w:pPr>
      <w:r w:rsidRPr="001B7160">
        <w:t>configure a coll</w:t>
      </w:r>
      <w:r w:rsidRPr="001B7160">
        <w:t xml:space="preserve">aborative robot for at least two tasks or job runs including: </w:t>
      </w:r>
    </w:p>
    <w:p w:rsidR="00000000" w:rsidRPr="001B7160" w:rsidP="001B7160">
      <w:pPr>
        <w:pStyle w:val="ListBullet2"/>
      </w:pPr>
      <w:r w:rsidRPr="001B7160">
        <w:t>establishing safety and other limits appropriate to the task, space and manufacturer’s instructions</w:t>
      </w:r>
    </w:p>
    <w:p w:rsidR="00000000" w:rsidRPr="001B7160" w:rsidP="001B7160">
      <w:pPr>
        <w:pStyle w:val="ListBullet2"/>
      </w:pPr>
      <w:r w:rsidRPr="001B7160">
        <w:t>preparing materials and space for collaborative robot tasks</w:t>
      </w:r>
    </w:p>
    <w:p w:rsidR="00000000" w:rsidRPr="001B7160" w:rsidP="001B7160">
      <w:pPr>
        <w:pStyle w:val="ListBullet2"/>
      </w:pPr>
      <w:r w:rsidRPr="001B7160">
        <w:t xml:space="preserve">programming robot movements, </w:t>
      </w:r>
    </w:p>
    <w:p w:rsidR="00000000" w:rsidRPr="001B7160" w:rsidP="001B7160">
      <w:pPr>
        <w:pStyle w:val="ListBullet2"/>
      </w:pPr>
      <w:r w:rsidRPr="001B7160">
        <w:t>configuring machine vision and other sensors</w:t>
      </w:r>
    </w:p>
    <w:p w:rsidR="00000000" w:rsidRPr="001B7160" w:rsidP="001B7160">
      <w:pPr>
        <w:pStyle w:val="ListBullet2"/>
      </w:pPr>
      <w:r w:rsidRPr="001B7160">
        <w:t xml:space="preserve">establishing required robot data reporting and PLC and networking interfaces </w:t>
      </w:r>
    </w:p>
    <w:p w:rsidR="00000000" w:rsidRPr="001B7160" w:rsidP="001B7160">
      <w:pPr>
        <w:pStyle w:val="ListBullet"/>
      </w:pPr>
      <w:r w:rsidRPr="001B7160">
        <w:t xml:space="preserve">troubleshoot faults in collaborative robot configuration and operation </w:t>
      </w:r>
    </w:p>
    <w:p w:rsidR="00000000" w:rsidRPr="001B7160" w:rsidP="001B7160">
      <w:pPr>
        <w:pStyle w:val="ListBullet"/>
      </w:pPr>
      <w:r w:rsidRPr="001B7160">
        <w:t>troubleshoot collaborative robot onboard data processing, fi</w:t>
      </w:r>
      <w:r w:rsidRPr="001B7160">
        <w:t>le transfer, and network connections</w:t>
      </w:r>
    </w:p>
    <w:p w:rsidR="00000000" w:rsidRPr="001B7160" w:rsidP="001B7160">
      <w:pPr>
        <w:pStyle w:val="ListBullet"/>
      </w:pPr>
      <w:r w:rsidRPr="001B7160">
        <w:t>apply safety practices while configuring and working with collaborative robot</w:t>
      </w:r>
    </w:p>
    <w:p w:rsidR="00000000" w:rsidRPr="001B7160" w:rsidP="001B7160">
      <w:pPr>
        <w:pStyle w:val="ListBullet"/>
      </w:pPr>
      <w:r w:rsidRPr="001B7160">
        <w:t>report on work completion in the required format.</w:t>
      </w:r>
    </w:p>
    <w:p w:rsidR="00CB2053" w:rsidRPr="00CB2053" w:rsidP="00CB2053">
      <w:pPr>
        <w:pStyle w:val="BodyText"/>
        <w:rPr>
          <w:i/>
        </w:rPr>
      </w:pPr>
      <w:r w:rsidRPr="00CB2053">
        <w:rPr>
          <w:rStyle w:val="Emphasis"/>
        </w:rPr>
        <w:t>Note: Where a volume and/or frequency is not specified, demonstration must be provided at l</w:t>
      </w:r>
      <w:r w:rsidRPr="00CB2053">
        <w:rPr>
          <w:rStyle w:val="Emphasis"/>
        </w:rPr>
        <w:t>east once.</w:t>
      </w:r>
    </w:p>
    <w:p w:rsidR="00000000" w:rsidRPr="001B7160" w:rsidP="001B7160">
      <w:pPr>
        <w:pStyle w:val="Heading1"/>
      </w:pPr>
      <w:bookmarkStart w:id="3" w:name="O_1275113"/>
      <w:bookmarkEnd w:id="3"/>
      <w:r w:rsidRPr="001B7160">
        <w:t>Knowledge Evidence</w:t>
      </w:r>
    </w:p>
    <w:p w:rsidR="00000000" w:rsidRPr="001B7160" w:rsidP="00CB2053">
      <w:pPr>
        <w:pStyle w:val="BodyText"/>
      </w:pPr>
      <w:r w:rsidRPr="001B7160">
        <w:t>There must be evidence the candidate has knowledge of:</w:t>
      </w:r>
    </w:p>
    <w:p w:rsidR="00000000" w:rsidRPr="001B7160" w:rsidP="001B7160">
      <w:pPr>
        <w:pStyle w:val="ListBullet"/>
      </w:pPr>
      <w:r w:rsidRPr="001B7160">
        <w:t>shared space risks for collaborative robot operations including:</w:t>
      </w:r>
    </w:p>
    <w:p w:rsidR="00000000" w:rsidRPr="001B7160" w:rsidP="001B7160">
      <w:pPr>
        <w:pStyle w:val="ListBullet2"/>
      </w:pPr>
      <w:r w:rsidRPr="001B7160">
        <w:t>uneven floor surfaces for mobile collaborative robots</w:t>
      </w:r>
    </w:p>
    <w:p w:rsidR="00000000" w:rsidRPr="001B7160" w:rsidP="001B7160">
      <w:pPr>
        <w:pStyle w:val="ListBullet2"/>
      </w:pPr>
      <w:r w:rsidRPr="001B7160">
        <w:t xml:space="preserve">routing or guarding to ensure </w:t>
      </w:r>
      <w:r w:rsidRPr="001B7160">
        <w:t xml:space="preserve">employees and others cannot intrude into the shared space outside of collaborative robot safety sensing limits </w:t>
      </w:r>
    </w:p>
    <w:p w:rsidR="00000000" w:rsidRPr="001B7160" w:rsidP="001B7160">
      <w:pPr>
        <w:pStyle w:val="ListBullet2"/>
      </w:pPr>
      <w:r w:rsidRPr="001B7160">
        <w:t>electrical interference hazards</w:t>
      </w:r>
    </w:p>
    <w:p w:rsidR="00000000" w:rsidRPr="001B7160" w:rsidP="001B7160">
      <w:pPr>
        <w:pStyle w:val="ListBullet2"/>
      </w:pPr>
      <w:r w:rsidRPr="001B7160">
        <w:t>fail-safe space assessment in the event of robot fault or stoppage</w:t>
      </w:r>
    </w:p>
    <w:p w:rsidR="00000000" w:rsidRPr="001B7160" w:rsidP="001B7160">
      <w:pPr>
        <w:pStyle w:val="ListBullet2"/>
      </w:pPr>
      <w:r w:rsidRPr="001B7160">
        <w:t>other shared space risks unique to the workplace</w:t>
      </w:r>
    </w:p>
    <w:p w:rsidR="00000000" w:rsidRPr="001B7160" w:rsidP="001B7160">
      <w:pPr>
        <w:pStyle w:val="ListBullet"/>
      </w:pPr>
      <w:r w:rsidRPr="001B7160">
        <w:t>features of robots that make the robot collaborative including features associated with:</w:t>
      </w:r>
    </w:p>
    <w:p w:rsidR="00000000" w:rsidRPr="001B7160" w:rsidP="001B7160">
      <w:pPr>
        <w:pStyle w:val="ListBullet2"/>
      </w:pPr>
      <w:r w:rsidRPr="001B7160">
        <w:t>collaborative arm robots</w:t>
      </w:r>
    </w:p>
    <w:p w:rsidR="00000000" w:rsidRPr="001B7160" w:rsidP="001B7160">
      <w:pPr>
        <w:pStyle w:val="ListBullet2"/>
      </w:pPr>
      <w:r w:rsidRPr="001B7160">
        <w:t>track/transverse movement robots</w:t>
      </w:r>
    </w:p>
    <w:p w:rsidR="00000000" w:rsidRPr="001B7160" w:rsidP="001B7160">
      <w:pPr>
        <w:pStyle w:val="ListBullet2"/>
      </w:pPr>
      <w:r w:rsidRPr="001B7160">
        <w:t>mobile robots</w:t>
      </w:r>
    </w:p>
    <w:p w:rsidR="00000000" w:rsidRPr="001B7160" w:rsidP="001B7160">
      <w:pPr>
        <w:pStyle w:val="ListBullet"/>
      </w:pPr>
      <w:r w:rsidRPr="001B7160">
        <w:t>collaborative robot hardware components and</w:t>
      </w:r>
      <w:r w:rsidRPr="001B7160">
        <w:t xml:space="preserve"> features including:</w:t>
      </w:r>
    </w:p>
    <w:p w:rsidR="00000000" w:rsidRPr="001B7160" w:rsidP="001B7160">
      <w:pPr>
        <w:pStyle w:val="ListBullet2"/>
      </w:pPr>
      <w:r w:rsidRPr="001B7160">
        <w:t>sensors</w:t>
      </w:r>
    </w:p>
    <w:p w:rsidR="00000000" w:rsidRPr="001B7160" w:rsidP="001B7160">
      <w:pPr>
        <w:pStyle w:val="ListBullet2"/>
      </w:pPr>
      <w:r w:rsidRPr="001B7160">
        <w:t>onboard networking devices</w:t>
      </w:r>
    </w:p>
    <w:p w:rsidR="00000000" w:rsidRPr="001B7160" w:rsidP="001B7160">
      <w:pPr>
        <w:pStyle w:val="ListBullet2"/>
      </w:pPr>
      <w:r w:rsidRPr="001B7160">
        <w:t>human–machine interfaces</w:t>
      </w:r>
    </w:p>
    <w:p w:rsidR="00000000" w:rsidRPr="001B7160" w:rsidP="001B7160">
      <w:pPr>
        <w:pStyle w:val="ListBullet2"/>
      </w:pPr>
      <w:r w:rsidRPr="001B7160">
        <w:t>electrical, hydraulic and pneumatic actuators and servos</w:t>
      </w:r>
    </w:p>
    <w:p w:rsidR="00000000" w:rsidRPr="001B7160" w:rsidP="001B7160">
      <w:pPr>
        <w:pStyle w:val="ListBullet2"/>
      </w:pPr>
      <w:r w:rsidRPr="001B7160">
        <w:t>motors</w:t>
      </w:r>
    </w:p>
    <w:p w:rsidR="00000000" w:rsidRPr="001B7160" w:rsidP="001B7160">
      <w:pPr>
        <w:pStyle w:val="ListBullet2"/>
      </w:pPr>
      <w:r w:rsidRPr="001B7160">
        <w:t>vision systems</w:t>
      </w:r>
    </w:p>
    <w:p w:rsidR="00000000" w:rsidRPr="001B7160" w:rsidP="001B7160">
      <w:pPr>
        <w:pStyle w:val="ListBullet2"/>
      </w:pPr>
      <w:r w:rsidRPr="001B7160">
        <w:t xml:space="preserve">end effectors </w:t>
      </w:r>
    </w:p>
    <w:p w:rsidR="00000000" w:rsidRPr="001B7160" w:rsidP="001B7160">
      <w:pPr>
        <w:pStyle w:val="ListBullet2"/>
      </w:pPr>
      <w:r w:rsidRPr="001B7160">
        <w:t xml:space="preserve">switches and emergency stops, </w:t>
      </w:r>
    </w:p>
    <w:p w:rsidR="00000000" w:rsidRPr="001B7160" w:rsidP="001B7160">
      <w:pPr>
        <w:pStyle w:val="ListBullet2"/>
      </w:pPr>
      <w:r w:rsidRPr="001B7160">
        <w:t>contamination protection and guarding</w:t>
      </w:r>
    </w:p>
    <w:p w:rsidR="00000000" w:rsidRPr="001B7160" w:rsidP="001B7160">
      <w:pPr>
        <w:pStyle w:val="ListBullet2"/>
      </w:pPr>
      <w:r w:rsidRPr="001B7160">
        <w:t>power supply and cables</w:t>
      </w:r>
    </w:p>
    <w:p w:rsidR="00000000" w:rsidRPr="001B7160" w:rsidP="001B7160">
      <w:pPr>
        <w:pStyle w:val="ListBullet"/>
      </w:pPr>
      <w:r w:rsidRPr="001B7160">
        <w:t>typical functions, operations and limitations of different collaborative robots including:</w:t>
      </w:r>
    </w:p>
    <w:p w:rsidR="00000000" w:rsidRPr="001B7160" w:rsidP="001B7160">
      <w:pPr>
        <w:pStyle w:val="ListBullet2"/>
      </w:pPr>
      <w:r w:rsidRPr="001B7160">
        <w:t>vision system principles</w:t>
      </w:r>
    </w:p>
    <w:p w:rsidR="00000000" w:rsidRPr="001B7160" w:rsidP="001B7160">
      <w:pPr>
        <w:pStyle w:val="ListBullet2"/>
      </w:pPr>
      <w:r w:rsidRPr="001B7160">
        <w:t>robot mechanics</w:t>
      </w:r>
    </w:p>
    <w:p w:rsidR="00000000" w:rsidRPr="001B7160" w:rsidP="001B7160">
      <w:pPr>
        <w:pStyle w:val="ListBullet2"/>
      </w:pPr>
      <w:r w:rsidRPr="001B7160">
        <w:t>data acquisition, processing and transfer</w:t>
      </w:r>
    </w:p>
    <w:p w:rsidR="00000000" w:rsidRPr="001B7160" w:rsidP="001B7160">
      <w:pPr>
        <w:pStyle w:val="ListBullet"/>
      </w:pPr>
      <w:r w:rsidRPr="001B7160">
        <w:t>interfacing of collaborative robots with humans includi</w:t>
      </w:r>
      <w:r w:rsidRPr="001B7160">
        <w:t>ng:</w:t>
      </w:r>
    </w:p>
    <w:p w:rsidR="00000000" w:rsidRPr="001B7160" w:rsidP="001B7160">
      <w:pPr>
        <w:pStyle w:val="ListBullet2"/>
      </w:pPr>
      <w:r w:rsidRPr="001B7160">
        <w:t>safety features including sensors, protective stops, guarding and insulation, and fail-safe processes</w:t>
      </w:r>
    </w:p>
    <w:p w:rsidR="00000000" w:rsidRPr="001B7160" w:rsidP="001B7160">
      <w:pPr>
        <w:pStyle w:val="ListBullet2"/>
      </w:pPr>
      <w:r w:rsidRPr="001B7160">
        <w:t>manual programming/teaching, e.g., how collaborative robots interact with manufacturing execution system (MES)</w:t>
      </w:r>
    </w:p>
    <w:p w:rsidR="00000000" w:rsidRPr="001B7160" w:rsidP="001B7160">
      <w:pPr>
        <w:pStyle w:val="ListBullet"/>
      </w:pPr>
      <w:r w:rsidRPr="001B7160">
        <w:t>workplace safety requirements and wor</w:t>
      </w:r>
      <w:r w:rsidRPr="001B7160">
        <w:t>k health and safety (WHS) legislation relevant to the working environment and the task being undertaken</w:t>
      </w:r>
    </w:p>
    <w:p w:rsidR="00000000" w:rsidRPr="001B7160" w:rsidP="001B7160">
      <w:pPr>
        <w:pStyle w:val="ListBullet"/>
      </w:pPr>
      <w:r w:rsidRPr="001B7160">
        <w:t xml:space="preserve">standards, codes and regulations relevant to working with collaborative robots and the activities being undertaken </w:t>
      </w:r>
    </w:p>
    <w:p w:rsidR="00000000" w:rsidRPr="001B7160" w:rsidP="001B7160">
      <w:pPr>
        <w:pStyle w:val="ListBullet"/>
      </w:pPr>
      <w:r w:rsidRPr="001B7160">
        <w:t>manufacturer’s specifications, workp</w:t>
      </w:r>
      <w:r w:rsidRPr="001B7160">
        <w:t>lace procedures and other relevant technical information relating to working with collaborative robots</w:t>
      </w:r>
    </w:p>
    <w:p w:rsidR="00000000" w:rsidRPr="001B7160" w:rsidP="001B7160">
      <w:pPr>
        <w:pStyle w:val="ListBullet"/>
      </w:pPr>
      <w:r w:rsidRPr="001B7160">
        <w:t>differences between collaborative robots and traditional industrial robots</w:t>
      </w:r>
    </w:p>
    <w:p w:rsidR="00000000" w:rsidRPr="001B7160" w:rsidP="001B7160">
      <w:pPr>
        <w:pStyle w:val="ListBullet"/>
      </w:pPr>
      <w:r w:rsidRPr="001B7160">
        <w:t>uses of collaborative robots in the manufacturing sector</w:t>
      </w:r>
    </w:p>
    <w:p w:rsidR="00000000" w:rsidRPr="001B7160" w:rsidP="001B7160">
      <w:pPr>
        <w:pStyle w:val="ListBullet"/>
      </w:pPr>
      <w:r w:rsidRPr="001B7160">
        <w:t>machine learning in relation to collaborative robots</w:t>
      </w:r>
    </w:p>
    <w:p w:rsidR="00000000" w:rsidRPr="001B7160" w:rsidP="001B7160">
      <w:pPr>
        <w:pStyle w:val="ListBullet"/>
      </w:pPr>
      <w:r w:rsidRPr="001B7160">
        <w:t>troubleshooting processes and techniques relevant to collaborative robots</w:t>
      </w:r>
    </w:p>
    <w:p w:rsidR="00000000" w:rsidRPr="001B7160" w:rsidP="001B7160">
      <w:pPr>
        <w:pStyle w:val="ListBullet"/>
      </w:pPr>
      <w:r w:rsidRPr="001B7160">
        <w:t>techniques used for training a collaborative robot through guided movements and task demonstration</w:t>
      </w:r>
    </w:p>
    <w:p w:rsidR="00CB2053" w:rsidP="001B7160">
      <w:pPr>
        <w:pStyle w:val="ListBullet"/>
      </w:pPr>
      <w:r w:rsidRPr="001B7160">
        <w:t xml:space="preserve">operating within own scope of </w:t>
      </w:r>
      <w:r w:rsidRPr="001B7160">
        <w:t>role and when to seek assistance, including input, or hand off to others when working with collaborative robots.</w:t>
      </w:r>
    </w:p>
    <w:p w:rsidR="00CB2053" w:rsidP="001B7160">
      <w:pPr>
        <w:pStyle w:val="ListBullet"/>
      </w:pPr>
    </w:p>
    <w:p w:rsidR="00000000" w:rsidRPr="001B7160" w:rsidP="001B7160">
      <w:pPr>
        <w:pStyle w:val="Heading1"/>
      </w:pPr>
      <w:bookmarkStart w:id="4" w:name="O_1275114"/>
      <w:bookmarkEnd w:id="4"/>
      <w:r w:rsidRPr="001B7160">
        <w:t>Assessment Conditions</w:t>
      </w:r>
    </w:p>
    <w:p w:rsidR="00000000" w:rsidRPr="001B7160" w:rsidP="001B7160">
      <w:pPr>
        <w:pStyle w:val="ListBullet"/>
      </w:pPr>
      <w:r w:rsidRPr="001B7160">
        <w:t>Assessors must:</w:t>
      </w:r>
    </w:p>
    <w:p w:rsidR="00000000" w:rsidRPr="001B7160" w:rsidP="001B7160">
      <w:pPr>
        <w:pStyle w:val="ListBullet2"/>
      </w:pPr>
      <w:r w:rsidRPr="001B7160">
        <w:t>have vocational competency in preparing, configuring and testing collaborative robo</w:t>
      </w:r>
      <w:r w:rsidRPr="001B7160">
        <w:t>ts for industrial operations at least to the level being assessed with relevant industry knowledge and experience</w:t>
      </w:r>
    </w:p>
    <w:p w:rsidR="00000000" w:rsidRPr="001B7160" w:rsidP="001B7160">
      <w:pPr>
        <w:pStyle w:val="ListBullet2"/>
      </w:pPr>
      <w:r w:rsidRPr="001B7160">
        <w:t xml:space="preserve">satisfy the assessor requirements in the </w:t>
      </w:r>
      <w:r w:rsidRPr="001B7160">
        <w:rPr>
          <w:rStyle w:val="Emphasis"/>
        </w:rPr>
        <w:t>Standards for Registered Training Organisations 2015</w:t>
      </w:r>
      <w:r w:rsidRPr="001B7160">
        <w:t xml:space="preserve"> or its replacement and comply with the </w:t>
      </w:r>
      <w:r w:rsidRPr="001B7160">
        <w:rPr>
          <w:rStyle w:val="Emphasis"/>
        </w:rPr>
        <w:t xml:space="preserve">National </w:t>
      </w:r>
      <w:r w:rsidRPr="001B7160">
        <w:rPr>
          <w:rStyle w:val="Emphasis"/>
        </w:rPr>
        <w:t>Vocational Education and Training Regulator Act 2011</w:t>
      </w:r>
      <w:r w:rsidRPr="001B7160">
        <w:t>, its replacement or equivalent legislation covering VET regulation in a non-referring state/territory as the case requires.</w:t>
      </w:r>
    </w:p>
    <w:p w:rsidR="00000000" w:rsidRPr="001B7160" w:rsidP="001B7160">
      <w:pPr>
        <w:pStyle w:val="ListBullet"/>
      </w:pPr>
      <w:r w:rsidRPr="001B7160">
        <w:t>Where possible, assessment must occur in operational workplace situations. Whe</w:t>
      </w:r>
      <w:r w:rsidRPr="001B7160">
        <w:t>re this is not possible or where personal safety or environmental damage are limiting factors, assessment must occur in a sufficiently rigorous simulated environment that reflects realistic operational workplace conditions that cover all aspects of workpla</w:t>
      </w:r>
      <w:r w:rsidRPr="001B7160">
        <w:t>ce performance, including environment, task skills, task management skills, contingency management skills and job role environment skills.</w:t>
      </w:r>
    </w:p>
    <w:p w:rsidR="00000000" w:rsidRPr="001B7160" w:rsidP="001B7160">
      <w:pPr>
        <w:pStyle w:val="ListBullet"/>
      </w:pPr>
      <w:r w:rsidRPr="001B7160">
        <w:t>There must be access to all tools, equipment, materials and documentation required, including relevant workplace proc</w:t>
      </w:r>
      <w:r w:rsidRPr="001B7160">
        <w:t>edures, product and manufacturing specifications.</w:t>
      </w:r>
    </w:p>
    <w:p w:rsidR="00CB2053" w:rsidP="001B7160">
      <w:pPr>
        <w:pStyle w:val="ListBullet"/>
      </w:pPr>
      <w:r w:rsidRPr="001B7160">
        <w:t>Assessment processes and techniques must be appropriate to the language, literacy and numeracy requirements of the work being performed and the needs of the candidate.</w:t>
      </w:r>
    </w:p>
    <w:p w:rsidR="00CB2053" w:rsidP="001B7160">
      <w:pPr>
        <w:pStyle w:val="ListBullet"/>
      </w:pPr>
    </w:p>
    <w:p w:rsidR="00000000" w:rsidRPr="001B7160" w:rsidP="001B7160">
      <w:pPr>
        <w:pStyle w:val="Heading1"/>
      </w:pPr>
      <w:bookmarkStart w:id="5" w:name="O_1275117"/>
      <w:bookmarkEnd w:id="5"/>
      <w:r w:rsidRPr="001B7160">
        <w:t>Links</w:t>
      </w:r>
    </w:p>
    <w:p w:rsidR="00000000" w:rsidRPr="001B7160" w:rsidP="00CB2053">
      <w:pPr>
        <w:pStyle w:val="BodyText"/>
      </w:pPr>
      <w:r w:rsidRPr="001B71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333B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B7160" w:rsidP="001B7160"/>
    <w:sectPr w:rsidSect="001B71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1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160" w:rsidRPr="00CB2053" w:rsidP="00CB2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1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053" w:rsidP="001B71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2053" w:rsidP="001B71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B2053" w:rsidP="001B71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1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160" w:rsidRPr="00CB2053" w:rsidP="00CB2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1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053" w:rsidRPr="002D2AF8" w:rsidP="001B71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MEM29009 Prepare, configure and test collaborative robots for industrial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B2053" w:rsidP="001B71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16A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00C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5209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1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1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1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1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1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1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1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1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1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1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1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160"/>
  </w:style>
  <w:style w:type="character" w:customStyle="1" w:styleId="Heading1Char">
    <w:name w:val="Heading 1 Char"/>
    <w:basedOn w:val="DefaultParagraphFont"/>
    <w:link w:val="Heading1"/>
    <w:rsid w:val="001B71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1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1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71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71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7160"/>
    <w:rPr>
      <w:i/>
    </w:rPr>
  </w:style>
  <w:style w:type="paragraph" w:customStyle="1" w:styleId="SuperHeading">
    <w:name w:val="SuperHeading"/>
    <w:basedOn w:val="Normal"/>
    <w:rsid w:val="001B71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1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1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1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1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1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1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1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1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1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1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1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1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1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1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1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1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1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7160"/>
    <w:rPr>
      <w:b/>
      <w:spacing w:val="0"/>
    </w:rPr>
  </w:style>
  <w:style w:type="paragraph" w:customStyle="1" w:styleId="SuperTitle">
    <w:name w:val="SuperTitle"/>
    <w:basedOn w:val="Title"/>
    <w:rsid w:val="001B71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1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1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71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1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1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1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1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1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1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1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1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71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1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1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160"/>
  </w:style>
  <w:style w:type="paragraph" w:styleId="TableofFigures">
    <w:name w:val="table of figures"/>
    <w:basedOn w:val="Normal"/>
    <w:next w:val="Normal"/>
    <w:semiHidden/>
    <w:rsid w:val="001B71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1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7160"/>
    <w:rPr>
      <w:rFonts w:ascii="Wingdings" w:hAnsi="Wingdings"/>
    </w:rPr>
  </w:style>
  <w:style w:type="paragraph" w:customStyle="1" w:styleId="TableHeading">
    <w:name w:val="Table Heading"/>
    <w:basedOn w:val="HeadingBase"/>
    <w:rsid w:val="001B71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160"/>
    <w:rPr>
      <w:color w:val="0033CC"/>
      <w:u w:val="none"/>
    </w:rPr>
  </w:style>
  <w:style w:type="paragraph" w:customStyle="1" w:styleId="BodyTextRight">
    <w:name w:val="Body Text Right"/>
    <w:basedOn w:val="BodyText"/>
    <w:rsid w:val="001B71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1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1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1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1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1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160"/>
    <w:rPr>
      <w:sz w:val="32"/>
    </w:rPr>
  </w:style>
  <w:style w:type="paragraph" w:customStyle="1" w:styleId="HeadingProcedure">
    <w:name w:val="Heading Procedure"/>
    <w:basedOn w:val="HeadingBase"/>
    <w:next w:val="Normal"/>
    <w:rsid w:val="001B71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160"/>
    <w:pPr>
      <w:spacing w:before="60" w:after="60"/>
    </w:pPr>
  </w:style>
  <w:style w:type="paragraph" w:styleId="ListContinue">
    <w:name w:val="List Continue"/>
    <w:basedOn w:val="List"/>
    <w:rsid w:val="001B7160"/>
    <w:pPr>
      <w:ind w:firstLine="0"/>
    </w:pPr>
  </w:style>
  <w:style w:type="paragraph" w:customStyle="1" w:styleId="ListNote">
    <w:name w:val="List Note"/>
    <w:basedOn w:val="List"/>
    <w:rsid w:val="001B71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1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1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160"/>
    <w:rPr>
      <w:rFonts w:ascii="Courier New" w:hAnsi="Courier New"/>
    </w:rPr>
  </w:style>
  <w:style w:type="paragraph" w:customStyle="1" w:styleId="NoteBullet">
    <w:name w:val="Note Bullet"/>
    <w:basedOn w:val="Note"/>
    <w:rsid w:val="001B71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1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1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1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1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71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1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160"/>
    <w:rPr>
      <w:b/>
      <w:smallCaps/>
    </w:rPr>
  </w:style>
  <w:style w:type="paragraph" w:customStyle="1" w:styleId="TableListNumber">
    <w:name w:val="Table List Number"/>
    <w:basedOn w:val="ListNumber"/>
    <w:rsid w:val="001B71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1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160"/>
    <w:pPr>
      <w:numPr>
        <w:numId w:val="9"/>
      </w:numPr>
    </w:pPr>
  </w:style>
  <w:style w:type="paragraph" w:customStyle="1" w:styleId="ListAlpha2">
    <w:name w:val="List Alpha 2"/>
    <w:basedOn w:val="List2"/>
    <w:rsid w:val="001B7160"/>
    <w:pPr>
      <w:numPr>
        <w:numId w:val="8"/>
      </w:numPr>
    </w:pPr>
  </w:style>
  <w:style w:type="paragraph" w:styleId="List2">
    <w:name w:val="List 2"/>
    <w:basedOn w:val="BodyText"/>
    <w:rsid w:val="001B71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1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1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1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1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1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7160"/>
    <w:pPr>
      <w:numPr>
        <w:numId w:val="4"/>
      </w:numPr>
    </w:pPr>
  </w:style>
  <w:style w:type="paragraph" w:styleId="ListContinue2">
    <w:name w:val="List Continue 2"/>
    <w:basedOn w:val="List2"/>
    <w:rsid w:val="001B7160"/>
    <w:pPr>
      <w:ind w:firstLine="0"/>
    </w:pPr>
  </w:style>
  <w:style w:type="paragraph" w:styleId="ListContinue3">
    <w:name w:val="List Continue 3"/>
    <w:basedOn w:val="List3"/>
    <w:rsid w:val="001B7160"/>
    <w:pPr>
      <w:ind w:left="1021" w:firstLine="0"/>
    </w:pPr>
  </w:style>
  <w:style w:type="paragraph" w:styleId="ListContinue4">
    <w:name w:val="List Continue 4"/>
    <w:basedOn w:val="List4"/>
    <w:rsid w:val="001B7160"/>
    <w:pPr>
      <w:ind w:firstLine="0"/>
    </w:pPr>
  </w:style>
  <w:style w:type="paragraph" w:styleId="ListContinue5">
    <w:name w:val="List Continue 5"/>
    <w:basedOn w:val="List5"/>
    <w:rsid w:val="001B7160"/>
    <w:pPr>
      <w:ind w:firstLine="0"/>
    </w:pPr>
  </w:style>
  <w:style w:type="paragraph" w:styleId="ListNumber3">
    <w:name w:val="List Number 3"/>
    <w:basedOn w:val="List3"/>
    <w:rsid w:val="001B7160"/>
    <w:pPr>
      <w:numPr>
        <w:numId w:val="5"/>
      </w:numPr>
    </w:pPr>
  </w:style>
  <w:style w:type="paragraph" w:styleId="ListNumber4">
    <w:name w:val="List Number 4"/>
    <w:basedOn w:val="List4"/>
    <w:rsid w:val="001B7160"/>
    <w:pPr>
      <w:numPr>
        <w:numId w:val="6"/>
      </w:numPr>
    </w:pPr>
  </w:style>
  <w:style w:type="paragraph" w:styleId="ListNumber5">
    <w:name w:val="List Number 5"/>
    <w:basedOn w:val="List5"/>
    <w:rsid w:val="001B7160"/>
    <w:pPr>
      <w:numPr>
        <w:numId w:val="7"/>
      </w:numPr>
    </w:pPr>
  </w:style>
  <w:style w:type="paragraph" w:styleId="BlockText">
    <w:name w:val="Block Text"/>
    <w:basedOn w:val="Normal"/>
    <w:rsid w:val="001B71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1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160"/>
    <w:rPr>
      <w:sz w:val="16"/>
      <w:vertAlign w:val="superscript"/>
    </w:rPr>
  </w:style>
  <w:style w:type="character" w:customStyle="1" w:styleId="Symbols">
    <w:name w:val="Symbols"/>
    <w:basedOn w:val="DefaultParagraphFont"/>
    <w:rsid w:val="001B7160"/>
    <w:rPr>
      <w:rFonts w:ascii="Symbol" w:hAnsi="Symbol"/>
    </w:rPr>
  </w:style>
  <w:style w:type="character" w:customStyle="1" w:styleId="MenuOptions">
    <w:name w:val="Menu Options"/>
    <w:basedOn w:val="DefaultParagraphFont"/>
    <w:rsid w:val="001B71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160"/>
    <w:rPr>
      <w:b/>
    </w:rPr>
  </w:style>
  <w:style w:type="character" w:customStyle="1" w:styleId="Underlined">
    <w:name w:val="Underlined"/>
    <w:basedOn w:val="DefaultParagraphFont"/>
    <w:rsid w:val="001B7160"/>
    <w:rPr>
      <w:u w:val="single"/>
    </w:rPr>
  </w:style>
  <w:style w:type="paragraph" w:customStyle="1" w:styleId="TableBodyTextRight">
    <w:name w:val="Table Body Text Right"/>
    <w:basedOn w:val="TableBodyText"/>
    <w:rsid w:val="001B71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160"/>
    <w:rPr>
      <w:sz w:val="18"/>
    </w:rPr>
  </w:style>
  <w:style w:type="paragraph" w:customStyle="1" w:styleId="BodySmallRight">
    <w:name w:val="Body Small Right"/>
    <w:basedOn w:val="BodyTextRight"/>
    <w:rsid w:val="001B7160"/>
    <w:rPr>
      <w:sz w:val="18"/>
      <w:szCs w:val="18"/>
    </w:rPr>
  </w:style>
  <w:style w:type="paragraph" w:customStyle="1" w:styleId="MarginEdition">
    <w:name w:val="Margin Edition"/>
    <w:basedOn w:val="MarginNote"/>
    <w:rsid w:val="001B71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160"/>
    <w:rPr>
      <w:sz w:val="2"/>
      <w:szCs w:val="2"/>
    </w:rPr>
  </w:style>
  <w:style w:type="character" w:customStyle="1" w:styleId="Small">
    <w:name w:val="Small"/>
    <w:basedOn w:val="DefaultParagraphFont"/>
    <w:rsid w:val="001B7160"/>
    <w:rPr>
      <w:sz w:val="16"/>
    </w:rPr>
  </w:style>
  <w:style w:type="paragraph" w:customStyle="1" w:styleId="WideTable">
    <w:name w:val="Wide Table"/>
    <w:basedOn w:val="Normal"/>
    <w:rsid w:val="001B71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160"/>
  </w:style>
  <w:style w:type="paragraph" w:styleId="Quote">
    <w:name w:val="Quote"/>
    <w:basedOn w:val="Heading1"/>
    <w:link w:val="QuoteChar"/>
    <w:qFormat/>
    <w:rsid w:val="001B71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1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160"/>
    <w:pPr>
      <w:pageBreakBefore/>
    </w:pPr>
  </w:style>
  <w:style w:type="paragraph" w:customStyle="1" w:styleId="Border">
    <w:name w:val="Border"/>
    <w:basedOn w:val="Normal"/>
    <w:qFormat/>
    <w:rsid w:val="001B71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1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1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1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1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1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1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1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1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160"/>
    <w:rPr>
      <w:u w:val="single"/>
    </w:rPr>
  </w:style>
  <w:style w:type="character" w:customStyle="1" w:styleId="BoldandItalics">
    <w:name w:val="Bold and Italics"/>
    <w:qFormat/>
    <w:rsid w:val="001B7160"/>
    <w:rPr>
      <w:b/>
      <w:i/>
      <w:u w:val="none"/>
    </w:rPr>
  </w:style>
  <w:style w:type="paragraph" w:styleId="BalloonText">
    <w:name w:val="Balloon Text"/>
    <w:basedOn w:val="Normal"/>
    <w:link w:val="BalloonTextChar"/>
    <w:rsid w:val="001B71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1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1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1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1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1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160"/>
    <w:pPr>
      <w:spacing w:before="0" w:after="0"/>
    </w:pPr>
  </w:style>
  <w:style w:type="paragraph" w:customStyle="1" w:styleId="BodyTextBold">
    <w:name w:val="Body Text Bold"/>
    <w:basedOn w:val="BodyText"/>
    <w:qFormat/>
    <w:rsid w:val="001B7160"/>
    <w:rPr>
      <w:b/>
    </w:rPr>
  </w:style>
  <w:style w:type="character" w:styleId="Hyperlink">
    <w:name w:val="Hyperlink"/>
    <w:basedOn w:val="DefaultParagraphFont"/>
    <w:uiPriority w:val="99"/>
    <w:unhideWhenUsed/>
    <w:rsid w:val="00CB2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4854</Characters>
  <Application>Microsoft Office Word</Application>
  <DocSecurity>0</DocSecurity>
  <Lines>107</Lines>
  <Paragraphs>81</Paragraphs>
  <ScaleCrop>false</ScaleCrop>
  <Company>Author-it Software Corporation Ltd.</Company>
  <LinksUpToDate>false</LinksUpToDate>
  <CharactersWithSpaces>5483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MEM29009 Prepare, configure and test collaborative robots for industrial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