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733E" w:rsidP="009573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MEM27031 Perform engine top-end overhaul</w:t>
      </w:r>
      <w:r>
        <w:fldChar w:fldCharType="end"/>
      </w:r>
    </w:p>
    <w:p w:rsidR="0095733E" w:rsidP="0095733E">
      <w:pPr>
        <w:pStyle w:val="Version"/>
        <w:sectPr w:rsidSect="00EC27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277D" w:rsidP="00EC277D">
      <w:pPr>
        <w:pStyle w:val="SuperHeading"/>
      </w:pPr>
      <w:r w:rsidRPr="00EC277D">
        <w:t>MEM27031 Perform engine top-end overhaul</w:t>
      </w:r>
    </w:p>
    <w:p w:rsidR="00000000" w:rsidRPr="00EC277D" w:rsidP="00EC277D">
      <w:pPr>
        <w:pStyle w:val="Heading1"/>
      </w:pPr>
      <w:bookmarkStart w:id="1" w:name="O_1170303"/>
      <w:bookmarkEnd w:id="1"/>
      <w:r w:rsidRPr="00EC277D">
        <w:t>Modification History</w:t>
      </w:r>
    </w:p>
    <w:p w:rsidR="00000000" w:rsidRPr="00EC277D" w:rsidP="0095733E">
      <w:pPr>
        <w:pStyle w:val="BodyText"/>
      </w:pPr>
      <w:r w:rsidRPr="00EC277D">
        <w:t>Release 2. Quantum of hours of workplace practice removed. Supersedes and is equivalent to MEM27031 Perform engine top-end overhaul (Release 1).</w:t>
      </w:r>
    </w:p>
    <w:p w:rsidR="00000000" w:rsidRPr="00EC277D" w:rsidP="0095733E">
      <w:pPr>
        <w:pStyle w:val="BodyText"/>
      </w:pPr>
      <w:r w:rsidRPr="00EC277D">
        <w:t>Release 1. Supersedes and is equivalent to MEM18034B Perform engine top-end overhaul.</w:t>
      </w:r>
    </w:p>
    <w:p w:rsidR="00000000" w:rsidRPr="00EC277D" w:rsidP="00EC277D">
      <w:pPr>
        <w:pStyle w:val="Heading1"/>
      </w:pPr>
      <w:bookmarkStart w:id="2" w:name="O_1170302"/>
      <w:bookmarkEnd w:id="2"/>
      <w:r w:rsidRPr="00EC277D">
        <w:t>Application</w:t>
      </w:r>
    </w:p>
    <w:p w:rsidR="00000000" w:rsidRPr="00EC277D" w:rsidP="0095733E">
      <w:pPr>
        <w:pStyle w:val="BodyText"/>
      </w:pPr>
      <w:r w:rsidRPr="00EC277D">
        <w:t>This unit of competency defines the skills and knowledge required to dismantle, clean and assess parts, record and interpret measurements and recondition the cylinder head.</w:t>
      </w:r>
    </w:p>
    <w:p w:rsidR="00000000" w:rsidRPr="00EC277D" w:rsidP="0095733E">
      <w:pPr>
        <w:pStyle w:val="BodyText"/>
      </w:pPr>
      <w:r w:rsidRPr="00EC277D">
        <w:t>It includes all types of engines and work associated wi</w:t>
      </w:r>
      <w:r w:rsidRPr="00EC277D">
        <w:t>th the reconditioning of cylinder heads, including determining the causes of failures, replacement of inserts, guides and injector sleeves, grinding of valves and seats, and crack/twist/bend testing. The reconditioning of original parts, crack repairs usin</w:t>
      </w:r>
      <w:r w:rsidRPr="00EC277D">
        <w:t>g non-welding techniques and sizing and fitting of replacement parts are also included.</w:t>
      </w:r>
    </w:p>
    <w:p w:rsidR="00000000" w:rsidRPr="00EC277D" w:rsidP="0095733E">
      <w:pPr>
        <w:pStyle w:val="BodyText"/>
      </w:pPr>
      <w:r w:rsidRPr="00EC277D">
        <w:t>No licensing, legislative or certification requirements apply to this unit at the time of publication.</w:t>
      </w:r>
    </w:p>
    <w:p w:rsidR="00000000" w:rsidRPr="00EC277D" w:rsidP="00EC277D">
      <w:pPr>
        <w:pStyle w:val="BodyText"/>
      </w:pPr>
      <w:r w:rsidRPr="00EC277D">
        <w:rPr>
          <w:rStyle w:val="SpecialBold"/>
        </w:rPr>
        <w:t>Band</w:t>
      </w:r>
      <w:r w:rsidRPr="00EC277D">
        <w:t>:</w:t>
      </w:r>
      <w:r w:rsidRPr="00EC277D">
        <w:tab/>
      </w:r>
      <w:r w:rsidRPr="00EC277D">
        <w:rPr>
          <w:rStyle w:val="SpecialBold"/>
        </w:rPr>
        <w:t>A</w:t>
      </w:r>
    </w:p>
    <w:p w:rsidR="00000000" w:rsidRPr="00EC277D" w:rsidP="00EC277D">
      <w:pPr>
        <w:pStyle w:val="BodyText"/>
      </w:pPr>
      <w:r w:rsidRPr="00EC277D">
        <w:rPr>
          <w:rStyle w:val="SpecialBold"/>
        </w:rPr>
        <w:t>Unit Weight</w:t>
      </w:r>
      <w:r w:rsidRPr="00EC277D">
        <w:t>:</w:t>
      </w:r>
      <w:r w:rsidRPr="00EC277D">
        <w:tab/>
      </w:r>
      <w:r w:rsidRPr="00EC277D">
        <w:rPr>
          <w:rStyle w:val="SpecialBold"/>
        </w:rPr>
        <w:t>8</w:t>
      </w:r>
    </w:p>
    <w:p w:rsidR="00000000" w:rsidRPr="00EC277D" w:rsidP="00EC277D">
      <w:pPr>
        <w:pStyle w:val="AllowPageBreak"/>
      </w:pPr>
    </w:p>
    <w:p w:rsidR="00000000" w:rsidRPr="00EC277D" w:rsidP="00EC277D">
      <w:pPr>
        <w:pStyle w:val="Heading1"/>
      </w:pPr>
      <w:bookmarkStart w:id="3" w:name="O_1170301"/>
      <w:bookmarkEnd w:id="3"/>
      <w:r w:rsidRPr="00EC277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EC2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ME</w:t>
            </w:r>
            <w:r w:rsidRPr="00EC277D">
              <w:t>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Interpret technical drawing</w:t>
            </w:r>
          </w:p>
        </w:tc>
      </w:tr>
      <w:tr w:rsidTr="00EC2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Undertake manual handling</w:t>
            </w:r>
          </w:p>
        </w:tc>
      </w:tr>
      <w:tr w:rsidTr="00EC2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Perform engineering measurements</w:t>
            </w:r>
          </w:p>
        </w:tc>
      </w:tr>
      <w:tr w:rsidTr="00EC2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Perform computations</w:t>
            </w:r>
          </w:p>
        </w:tc>
      </w:tr>
      <w:tr w:rsidTr="00EC2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Work safely and effectively in manufacturing and engineering</w:t>
            </w:r>
          </w:p>
        </w:tc>
      </w:tr>
      <w:tr w:rsidTr="00EC2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Plan work activities</w:t>
            </w:r>
          </w:p>
        </w:tc>
      </w:tr>
      <w:tr w:rsidTr="00EC2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Organise and communicate information</w:t>
            </w:r>
          </w:p>
        </w:tc>
      </w:tr>
      <w:tr w:rsidTr="00EC2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Use hand tools</w:t>
            </w:r>
          </w:p>
        </w:tc>
      </w:tr>
      <w:tr w:rsidTr="00EC2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Use power tools/hand held operations</w:t>
            </w:r>
          </w:p>
        </w:tc>
      </w:tr>
      <w:tr w:rsidTr="00EC2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MEM18003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Use tools for precision work</w:t>
            </w:r>
          </w:p>
        </w:tc>
      </w:tr>
      <w:tr w:rsidTr="00EC2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MEM18006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Perform precision fitting of engineering components</w:t>
            </w:r>
          </w:p>
        </w:tc>
      </w:tr>
      <w:tr w:rsidTr="00EC2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MEM18055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77D" w:rsidP="00EC277D">
            <w:pPr>
              <w:pStyle w:val="BodyText"/>
            </w:pPr>
            <w:r w:rsidRPr="00EC277D">
              <w:t>Dismantle, replace and assemble engineering components</w:t>
            </w:r>
          </w:p>
        </w:tc>
      </w:tr>
    </w:tbl>
    <w:p w:rsidR="00000000" w:rsidRPr="00EC277D" w:rsidP="00EC277D">
      <w:pPr>
        <w:pStyle w:val="BodyText"/>
      </w:pPr>
    </w:p>
    <w:p w:rsidR="00000000" w:rsidRPr="00EC277D" w:rsidP="00EC277D">
      <w:pPr>
        <w:pStyle w:val="AllowPageBreak"/>
      </w:pPr>
    </w:p>
    <w:p w:rsidR="00000000" w:rsidRPr="00EC277D" w:rsidP="00EC277D">
      <w:pPr>
        <w:pStyle w:val="Heading1"/>
      </w:pPr>
      <w:bookmarkStart w:id="4" w:name="O_1170300"/>
      <w:bookmarkEnd w:id="4"/>
      <w:r w:rsidRPr="00EC277D">
        <w:t>Competency Field</w:t>
      </w:r>
    </w:p>
    <w:p w:rsidR="00000000" w:rsidRPr="00EC277D" w:rsidP="0095733E">
      <w:pPr>
        <w:pStyle w:val="BodyText"/>
      </w:pPr>
      <w:r w:rsidRPr="00EC277D">
        <w:t>Maintenance and diagnostics</w:t>
      </w:r>
    </w:p>
    <w:p w:rsidR="00000000" w:rsidRPr="00EC277D" w:rsidP="00EC277D">
      <w:pPr>
        <w:pStyle w:val="Heading1"/>
      </w:pPr>
      <w:bookmarkStart w:id="5" w:name="O_1170299"/>
      <w:bookmarkEnd w:id="5"/>
      <w:r w:rsidRPr="00EC277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EC2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Performance criteria describe the perfo</w:t>
            </w:r>
            <w:r w:rsidRPr="00EC277D">
              <w:t>rmance needed to demonstrate achievement of the element.</w:t>
            </w:r>
          </w:p>
        </w:tc>
      </w:tr>
      <w:tr w:rsidTr="00EC2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77D" w:rsidP="00EC277D">
            <w:pPr>
              <w:pStyle w:val="BodyText"/>
            </w:pPr>
            <w:r w:rsidRPr="00EC277D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Follow standard operating procedures (SOPs)</w:t>
            </w:r>
          </w:p>
        </w:tc>
      </w:tr>
      <w:tr w:rsidTr="00EC2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Comply with work health and safety (WHS) requirements at all times</w:t>
            </w:r>
          </w:p>
        </w:tc>
      </w:tr>
      <w:tr w:rsidTr="00EC2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Use a</w:t>
            </w:r>
            <w:r w:rsidRPr="00EC277D">
              <w:t>ppropriate personal protective equipment (PPE) in accordance with SOPs</w:t>
            </w:r>
          </w:p>
        </w:tc>
      </w:tr>
      <w:tr w:rsidTr="00EC2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Identify job requirements from specifications, drawings, job sheets or work instructions</w:t>
            </w:r>
          </w:p>
        </w:tc>
      </w:tr>
      <w:tr w:rsidTr="00EC2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</w:p>
        </w:tc>
      </w:tr>
      <w:tr w:rsidTr="00EC2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77D" w:rsidP="00EC277D">
            <w:pPr>
              <w:pStyle w:val="BodyText"/>
            </w:pPr>
            <w:r w:rsidRPr="00EC277D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rPr>
                <w:rStyle w:val="SpecialBold"/>
              </w:rPr>
              <w:t>Dismantle clean and assess parts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Interpret characteristics of</w:t>
            </w:r>
            <w:r w:rsidRPr="00EC277D">
              <w:t xml:space="preserve"> surface finishes and wear patterns associated with valve operating mechanisms and cylinder head</w:t>
            </w:r>
          </w:p>
        </w:tc>
      </w:tr>
      <w:tr w:rsidTr="00EC2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Disassemble cylinder head and ancillary components according to manufacturer recommendations</w:t>
            </w:r>
          </w:p>
        </w:tc>
      </w:tr>
      <w:tr w:rsidTr="00EC2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Check parts for abnormal wear or defects and identif</w:t>
            </w:r>
            <w:r w:rsidRPr="00EC277D">
              <w:t>y components for reuse or replacement</w:t>
            </w:r>
          </w:p>
        </w:tc>
      </w:tr>
      <w:tr w:rsidTr="00EC2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Select appropriate cleaning solution/procedure, clean parts and store ready for reassembly</w:t>
            </w:r>
          </w:p>
        </w:tc>
      </w:tr>
      <w:tr w:rsidTr="00EC2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Rack or set out parts according to their original location in the engine</w:t>
            </w:r>
          </w:p>
        </w:tc>
      </w:tr>
      <w:tr w:rsidTr="00EC2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Obtain and record measurements using appropriate measuring equipment</w:t>
            </w:r>
          </w:p>
        </w:tc>
      </w:tr>
      <w:tr w:rsidTr="00EC2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Interpret readings regarding replacement or reuse and determine appropriate under/oversize of replacement parts</w:t>
            </w:r>
          </w:p>
        </w:tc>
      </w:tr>
      <w:tr w:rsidTr="00EC2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</w:p>
        </w:tc>
      </w:tr>
      <w:tr w:rsidTr="00EC2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77D" w:rsidP="00EC277D">
            <w:pPr>
              <w:pStyle w:val="BodyText"/>
            </w:pPr>
            <w:r w:rsidRPr="00EC277D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rPr>
                <w:rStyle w:val="SpecialBold"/>
              </w:rPr>
              <w:t>Recondition cylinder head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Pressure test cylinder head for serviceability</w:t>
            </w:r>
          </w:p>
        </w:tc>
      </w:tr>
      <w:tr w:rsidTr="00EC2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Measure and record spring tensions, valve and guide dimensions and surface flatness</w:t>
            </w:r>
          </w:p>
        </w:tc>
      </w:tr>
      <w:tr w:rsidTr="00EC2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Remove cylinder head according to manufacturer specifications</w:t>
            </w:r>
          </w:p>
        </w:tc>
      </w:tr>
      <w:tr w:rsidTr="00EC2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Use grinding and cleaning equipment in reconditioning the cylinder head</w:t>
            </w:r>
          </w:p>
        </w:tc>
      </w:tr>
      <w:tr w:rsidTr="00EC2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Apply operational parameters of cylinder head components in determining whether components are to be reconditioned or replaced</w:t>
            </w:r>
          </w:p>
        </w:tc>
      </w:tr>
      <w:tr w:rsidTr="00EC2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77D">
            <w:pPr>
              <w:pStyle w:val="BodyText"/>
              <w:rPr>
                <w:lang w:val="en-NZ"/>
              </w:rPr>
            </w:pPr>
            <w:r w:rsidRPr="00EC277D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77D" w:rsidP="00EC277D">
            <w:pPr>
              <w:pStyle w:val="BodyText"/>
            </w:pPr>
            <w:r w:rsidRPr="00EC277D">
              <w:t xml:space="preserve">Replace injector sleeves, sealing washers, </w:t>
            </w:r>
            <w:r w:rsidRPr="00EC277D">
              <w:t xml:space="preserve">plugs and capping </w:t>
            </w:r>
          </w:p>
        </w:tc>
      </w:tr>
    </w:tbl>
    <w:p w:rsidR="00000000" w:rsidRPr="00EC277D" w:rsidP="00EC277D">
      <w:pPr>
        <w:pStyle w:val="BodyText"/>
      </w:pPr>
    </w:p>
    <w:p w:rsidR="00000000" w:rsidRPr="00EC277D" w:rsidP="00EC277D">
      <w:pPr>
        <w:pStyle w:val="AllowPageBreak"/>
      </w:pPr>
    </w:p>
    <w:p w:rsidR="00000000" w:rsidRPr="00EC277D" w:rsidP="00EC277D">
      <w:pPr>
        <w:pStyle w:val="Heading1"/>
      </w:pPr>
      <w:bookmarkStart w:id="6" w:name="O_1170298"/>
      <w:bookmarkEnd w:id="6"/>
      <w:r w:rsidRPr="00EC277D">
        <w:t>Foundation Skills</w:t>
      </w:r>
    </w:p>
    <w:p w:rsidR="00000000" w:rsidRPr="00EC277D" w:rsidP="0095733E">
      <w:pPr>
        <w:pStyle w:val="BodyText"/>
      </w:pPr>
      <w:r w:rsidRPr="00EC277D">
        <w:t xml:space="preserve">This section describes those required skills (reading, writing, oral communication and numeracy) that are essential to workplace performance in this unit of competency.  </w:t>
      </w:r>
    </w:p>
    <w:p w:rsidR="00000000" w:rsidRPr="00EC277D" w:rsidP="0095733E">
      <w:pPr>
        <w:pStyle w:val="BodyText"/>
      </w:pPr>
      <w:r w:rsidRPr="00EC277D">
        <w:t>Foundation skills essential to performance are explicit in the performance criteria of this unit of competency.</w:t>
      </w:r>
    </w:p>
    <w:p w:rsidR="00000000" w:rsidRPr="00EC277D" w:rsidP="00EC277D">
      <w:pPr>
        <w:pStyle w:val="Heading1"/>
      </w:pPr>
      <w:bookmarkStart w:id="7" w:name="O_1170297"/>
      <w:bookmarkEnd w:id="7"/>
      <w:r w:rsidRPr="00EC277D">
        <w:t>Range of Conditions</w:t>
      </w:r>
    </w:p>
    <w:p w:rsidR="00000000" w:rsidRPr="00EC277D" w:rsidP="0095733E">
      <w:pPr>
        <w:pStyle w:val="BodyText"/>
      </w:pPr>
      <w:r w:rsidRPr="00EC277D">
        <w:t>No range of conditions provided for this unit.</w:t>
      </w:r>
    </w:p>
    <w:p w:rsidR="00000000" w:rsidRPr="00EC277D" w:rsidP="00EC277D">
      <w:pPr>
        <w:pStyle w:val="Heading1"/>
      </w:pPr>
      <w:bookmarkStart w:id="8" w:name="O_1170296"/>
      <w:bookmarkEnd w:id="8"/>
      <w:r w:rsidRPr="00EC277D">
        <w:t>Unit Mapping Information</w:t>
      </w:r>
    </w:p>
    <w:p w:rsidR="00000000" w:rsidRPr="00EC277D" w:rsidP="0095733E">
      <w:pPr>
        <w:pStyle w:val="BodyText"/>
      </w:pPr>
      <w:r w:rsidRPr="00EC277D">
        <w:t>Release 2. Sup</w:t>
      </w:r>
      <w:r w:rsidRPr="00EC277D">
        <w:t>ersedes and is equivalent to MEM27031 Perform engine top-end overhaul (Release 1).</w:t>
      </w:r>
    </w:p>
    <w:p w:rsidR="00000000" w:rsidRPr="00EC277D" w:rsidP="0095733E">
      <w:pPr>
        <w:pStyle w:val="BodyText"/>
      </w:pPr>
      <w:r w:rsidRPr="00EC277D">
        <w:t>Release 1. Supersedes and is equivalent to MEM18034B Perform engine top-end overhaul.</w:t>
      </w:r>
    </w:p>
    <w:p w:rsidR="00000000" w:rsidRPr="00EC277D" w:rsidP="00EC277D">
      <w:pPr>
        <w:pStyle w:val="Heading1"/>
      </w:pPr>
      <w:bookmarkStart w:id="9" w:name="O_1170304"/>
      <w:bookmarkEnd w:id="9"/>
      <w:r w:rsidRPr="00EC277D">
        <w:t>Links</w:t>
      </w:r>
    </w:p>
    <w:p w:rsidR="00000000" w:rsidRPr="00EC277D" w:rsidP="0095733E">
      <w:pPr>
        <w:pStyle w:val="BodyText"/>
      </w:pPr>
      <w:r w:rsidRPr="00EC27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A300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C277D" w:rsidP="00EC277D"/>
    <w:sectPr w:rsidSect="00EC27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7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77D" w:rsidRPr="0095733E" w:rsidP="009573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7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33E" w:rsidP="00EC27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733E" w:rsidP="00EC27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5733E" w:rsidP="00EC27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7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3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277D" w:rsidRPr="0095733E" w:rsidP="009573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7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33E" w:rsidRPr="002D2AF8" w:rsidP="00EC27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MEM27031 Perform engine top-end 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5733E" w:rsidP="00EC27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7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27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27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27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27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27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27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27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27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27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27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277D"/>
  </w:style>
  <w:style w:type="character" w:customStyle="1" w:styleId="Heading1Char">
    <w:name w:val="Heading 1 Char"/>
    <w:basedOn w:val="DefaultParagraphFont"/>
    <w:link w:val="Heading1"/>
    <w:rsid w:val="00EC27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27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277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C277D"/>
    <w:rPr>
      <w:b/>
      <w:spacing w:val="0"/>
    </w:rPr>
  </w:style>
  <w:style w:type="paragraph" w:customStyle="1" w:styleId="SuperHeading">
    <w:name w:val="SuperHeading"/>
    <w:basedOn w:val="Normal"/>
    <w:rsid w:val="00EC27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27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27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27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27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27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27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27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27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27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27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27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27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27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27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27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27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27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27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27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27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277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C27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27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27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27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277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27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27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27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27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27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27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27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27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27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277D"/>
    <w:rPr>
      <w:i/>
    </w:rPr>
  </w:style>
  <w:style w:type="paragraph" w:styleId="Caption">
    <w:name w:val="caption"/>
    <w:basedOn w:val="BodyText"/>
    <w:next w:val="Normal"/>
    <w:qFormat/>
    <w:rsid w:val="00EC27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27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27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277D"/>
  </w:style>
  <w:style w:type="paragraph" w:styleId="TableofFigures">
    <w:name w:val="table of figures"/>
    <w:basedOn w:val="Normal"/>
    <w:next w:val="Normal"/>
    <w:semiHidden/>
    <w:rsid w:val="00EC27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277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C277D"/>
    <w:rPr>
      <w:rFonts w:ascii="Wingdings" w:hAnsi="Wingdings"/>
    </w:rPr>
  </w:style>
  <w:style w:type="paragraph" w:customStyle="1" w:styleId="TableHeading">
    <w:name w:val="Table Heading"/>
    <w:basedOn w:val="HeadingBase"/>
    <w:rsid w:val="00EC27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277D"/>
    <w:rPr>
      <w:color w:val="0033CC"/>
      <w:u w:val="none"/>
    </w:rPr>
  </w:style>
  <w:style w:type="paragraph" w:customStyle="1" w:styleId="BodyTextRight">
    <w:name w:val="Body Text Right"/>
    <w:basedOn w:val="BodyText"/>
    <w:rsid w:val="00EC27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27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27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27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27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27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277D"/>
    <w:rPr>
      <w:sz w:val="32"/>
    </w:rPr>
  </w:style>
  <w:style w:type="paragraph" w:customStyle="1" w:styleId="HeadingProcedure">
    <w:name w:val="Heading Procedure"/>
    <w:basedOn w:val="HeadingBase"/>
    <w:next w:val="Normal"/>
    <w:rsid w:val="00EC27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277D"/>
    <w:pPr>
      <w:spacing w:before="60" w:after="60"/>
    </w:pPr>
  </w:style>
  <w:style w:type="paragraph" w:styleId="ListContinue">
    <w:name w:val="List Continue"/>
    <w:basedOn w:val="List"/>
    <w:rsid w:val="00EC277D"/>
    <w:pPr>
      <w:ind w:firstLine="0"/>
    </w:pPr>
  </w:style>
  <w:style w:type="paragraph" w:customStyle="1" w:styleId="ListNote">
    <w:name w:val="List Note"/>
    <w:basedOn w:val="List"/>
    <w:rsid w:val="00EC27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27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27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277D"/>
    <w:rPr>
      <w:rFonts w:ascii="Courier New" w:hAnsi="Courier New"/>
    </w:rPr>
  </w:style>
  <w:style w:type="paragraph" w:customStyle="1" w:styleId="NoteBullet">
    <w:name w:val="Note Bullet"/>
    <w:basedOn w:val="Note"/>
    <w:rsid w:val="00EC27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27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27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27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277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C27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27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277D"/>
    <w:rPr>
      <w:b/>
      <w:smallCaps/>
    </w:rPr>
  </w:style>
  <w:style w:type="paragraph" w:customStyle="1" w:styleId="TableListNumber">
    <w:name w:val="Table List Number"/>
    <w:basedOn w:val="ListNumber"/>
    <w:rsid w:val="00EC27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27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277D"/>
    <w:pPr>
      <w:numPr>
        <w:numId w:val="7"/>
      </w:numPr>
    </w:pPr>
  </w:style>
  <w:style w:type="paragraph" w:customStyle="1" w:styleId="ListAlpha2">
    <w:name w:val="List Alpha 2"/>
    <w:basedOn w:val="List2"/>
    <w:rsid w:val="00EC277D"/>
    <w:pPr>
      <w:numPr>
        <w:numId w:val="6"/>
      </w:numPr>
    </w:pPr>
  </w:style>
  <w:style w:type="paragraph" w:styleId="List2">
    <w:name w:val="List 2"/>
    <w:basedOn w:val="BodyText"/>
    <w:rsid w:val="00EC27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27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27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27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277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277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C277D"/>
    <w:pPr>
      <w:numPr>
        <w:numId w:val="2"/>
      </w:numPr>
    </w:pPr>
  </w:style>
  <w:style w:type="paragraph" w:styleId="ListContinue2">
    <w:name w:val="List Continue 2"/>
    <w:basedOn w:val="List2"/>
    <w:rsid w:val="00EC277D"/>
    <w:pPr>
      <w:ind w:firstLine="0"/>
    </w:pPr>
  </w:style>
  <w:style w:type="paragraph" w:styleId="ListContinue3">
    <w:name w:val="List Continue 3"/>
    <w:basedOn w:val="List3"/>
    <w:rsid w:val="00EC277D"/>
    <w:pPr>
      <w:ind w:left="1021" w:firstLine="0"/>
    </w:pPr>
  </w:style>
  <w:style w:type="paragraph" w:styleId="ListContinue4">
    <w:name w:val="List Continue 4"/>
    <w:basedOn w:val="List4"/>
    <w:rsid w:val="00EC277D"/>
    <w:pPr>
      <w:ind w:firstLine="0"/>
    </w:pPr>
  </w:style>
  <w:style w:type="paragraph" w:styleId="ListContinue5">
    <w:name w:val="List Continue 5"/>
    <w:basedOn w:val="List5"/>
    <w:rsid w:val="00EC277D"/>
    <w:pPr>
      <w:ind w:firstLine="0"/>
    </w:pPr>
  </w:style>
  <w:style w:type="paragraph" w:styleId="ListNumber3">
    <w:name w:val="List Number 3"/>
    <w:basedOn w:val="List3"/>
    <w:rsid w:val="00EC277D"/>
    <w:pPr>
      <w:numPr>
        <w:numId w:val="3"/>
      </w:numPr>
    </w:pPr>
  </w:style>
  <w:style w:type="paragraph" w:styleId="ListNumber4">
    <w:name w:val="List Number 4"/>
    <w:basedOn w:val="List4"/>
    <w:rsid w:val="00EC277D"/>
    <w:pPr>
      <w:numPr>
        <w:numId w:val="4"/>
      </w:numPr>
    </w:pPr>
  </w:style>
  <w:style w:type="paragraph" w:styleId="ListNumber5">
    <w:name w:val="List Number 5"/>
    <w:basedOn w:val="List5"/>
    <w:rsid w:val="00EC277D"/>
    <w:pPr>
      <w:numPr>
        <w:numId w:val="5"/>
      </w:numPr>
    </w:pPr>
  </w:style>
  <w:style w:type="paragraph" w:styleId="BlockText">
    <w:name w:val="Block Text"/>
    <w:basedOn w:val="Normal"/>
    <w:rsid w:val="00EC27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27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277D"/>
    <w:rPr>
      <w:sz w:val="16"/>
      <w:vertAlign w:val="superscript"/>
    </w:rPr>
  </w:style>
  <w:style w:type="character" w:customStyle="1" w:styleId="Symbols">
    <w:name w:val="Symbols"/>
    <w:basedOn w:val="DefaultParagraphFont"/>
    <w:rsid w:val="00EC277D"/>
    <w:rPr>
      <w:rFonts w:ascii="Symbol" w:hAnsi="Symbol"/>
    </w:rPr>
  </w:style>
  <w:style w:type="character" w:customStyle="1" w:styleId="MenuOptions">
    <w:name w:val="Menu Options"/>
    <w:basedOn w:val="DefaultParagraphFont"/>
    <w:rsid w:val="00EC27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277D"/>
    <w:rPr>
      <w:b/>
    </w:rPr>
  </w:style>
  <w:style w:type="character" w:customStyle="1" w:styleId="Underlined">
    <w:name w:val="Underlined"/>
    <w:basedOn w:val="DefaultParagraphFont"/>
    <w:rsid w:val="00EC277D"/>
    <w:rPr>
      <w:u w:val="single"/>
    </w:rPr>
  </w:style>
  <w:style w:type="paragraph" w:customStyle="1" w:styleId="TableBodyTextRight">
    <w:name w:val="Table Body Text Right"/>
    <w:basedOn w:val="TableBodyText"/>
    <w:rsid w:val="00EC27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277D"/>
    <w:rPr>
      <w:sz w:val="18"/>
    </w:rPr>
  </w:style>
  <w:style w:type="paragraph" w:customStyle="1" w:styleId="BodySmallRight">
    <w:name w:val="Body Small Right"/>
    <w:basedOn w:val="BodyTextRight"/>
    <w:rsid w:val="00EC277D"/>
    <w:rPr>
      <w:sz w:val="18"/>
      <w:szCs w:val="18"/>
    </w:rPr>
  </w:style>
  <w:style w:type="paragraph" w:customStyle="1" w:styleId="MarginEdition">
    <w:name w:val="Margin Edition"/>
    <w:basedOn w:val="MarginNote"/>
    <w:rsid w:val="00EC27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277D"/>
    <w:rPr>
      <w:sz w:val="2"/>
      <w:szCs w:val="2"/>
    </w:rPr>
  </w:style>
  <w:style w:type="character" w:customStyle="1" w:styleId="Small">
    <w:name w:val="Small"/>
    <w:basedOn w:val="DefaultParagraphFont"/>
    <w:rsid w:val="00EC277D"/>
    <w:rPr>
      <w:sz w:val="16"/>
    </w:rPr>
  </w:style>
  <w:style w:type="paragraph" w:customStyle="1" w:styleId="WideTable">
    <w:name w:val="Wide Table"/>
    <w:basedOn w:val="Normal"/>
    <w:rsid w:val="00EC27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277D"/>
  </w:style>
  <w:style w:type="paragraph" w:styleId="Quote">
    <w:name w:val="Quote"/>
    <w:basedOn w:val="Heading1"/>
    <w:link w:val="QuoteChar"/>
    <w:qFormat/>
    <w:rsid w:val="00EC27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27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277D"/>
    <w:pPr>
      <w:pageBreakBefore/>
    </w:pPr>
  </w:style>
  <w:style w:type="paragraph" w:customStyle="1" w:styleId="Border">
    <w:name w:val="Border"/>
    <w:basedOn w:val="Normal"/>
    <w:qFormat/>
    <w:rsid w:val="00EC27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27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27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27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27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27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27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27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27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277D"/>
    <w:rPr>
      <w:u w:val="single"/>
    </w:rPr>
  </w:style>
  <w:style w:type="character" w:customStyle="1" w:styleId="BoldandItalics">
    <w:name w:val="Bold and Italics"/>
    <w:qFormat/>
    <w:rsid w:val="00EC277D"/>
    <w:rPr>
      <w:b/>
      <w:i/>
      <w:u w:val="none"/>
    </w:rPr>
  </w:style>
  <w:style w:type="paragraph" w:styleId="BalloonText">
    <w:name w:val="Balloon Text"/>
    <w:basedOn w:val="Normal"/>
    <w:link w:val="BalloonTextChar"/>
    <w:rsid w:val="00EC27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27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27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27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27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27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277D"/>
    <w:pPr>
      <w:spacing w:before="0" w:after="0"/>
    </w:pPr>
  </w:style>
  <w:style w:type="paragraph" w:customStyle="1" w:styleId="BodyTextBold">
    <w:name w:val="Body Text Bold"/>
    <w:basedOn w:val="BodyText"/>
    <w:qFormat/>
    <w:rsid w:val="00EC277D"/>
    <w:rPr>
      <w:b/>
    </w:rPr>
  </w:style>
  <w:style w:type="character" w:styleId="Hyperlink">
    <w:name w:val="Hyperlink"/>
    <w:basedOn w:val="DefaultParagraphFont"/>
    <w:uiPriority w:val="99"/>
    <w:unhideWhenUsed/>
    <w:rsid w:val="009573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3746</Characters>
  <Application>Microsoft Office Word</Application>
  <DocSecurity>0</DocSecurity>
  <Lines>187</Lines>
  <Paragraphs>110</Paragraphs>
  <ScaleCrop>false</ScaleCrop>
  <Company>Author-it Software Corporation Ltd.</Company>
  <LinksUpToDate>false</LinksUpToDate>
  <CharactersWithSpaces>4213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MEM27031 Perform engine top-end overhaul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2023-02-03T06:31:00Z</dcterms:created>
  <dcterms:modified xsi:type="dcterms:W3CDTF">2023-02-03T06:31:00Z</dcterms:modified>
</cp:coreProperties>
</file>