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C661B" w:rsidP="005C661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MEM27029 Maintain wheels and tyres</w:t>
      </w:r>
      <w:r>
        <w:fldChar w:fldCharType="end"/>
      </w:r>
    </w:p>
    <w:p w:rsidR="005C661B" w:rsidP="005C661B">
      <w:pPr>
        <w:pStyle w:val="Version"/>
        <w:sectPr w:rsidSect="00B264C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264CE" w:rsidP="00B264CE">
      <w:pPr>
        <w:pStyle w:val="SuperHeading"/>
      </w:pPr>
      <w:r w:rsidRPr="00B264CE">
        <w:t>Assessment Requirements for MEM27029 Maintain wheels and tyres</w:t>
      </w:r>
    </w:p>
    <w:p w:rsidR="00000000" w:rsidRPr="00B264CE" w:rsidP="00B264CE">
      <w:pPr>
        <w:pStyle w:val="Heading1"/>
      </w:pPr>
      <w:bookmarkStart w:id="1" w:name="O_951897"/>
      <w:bookmarkEnd w:id="1"/>
      <w:r w:rsidRPr="00B264CE">
        <w:t>Modification History</w:t>
      </w:r>
    </w:p>
    <w:p w:rsidR="00000000" w:rsidRPr="00B264CE" w:rsidP="005C661B">
      <w:pPr>
        <w:pStyle w:val="BodyText"/>
      </w:pPr>
      <w:r w:rsidRPr="00B264CE">
        <w:t xml:space="preserve">Release 1. Supersedes and is equivalent to MEM18038B Maintain wheels and tyres </w:t>
      </w:r>
    </w:p>
    <w:p w:rsidR="00000000" w:rsidRPr="00B264CE" w:rsidP="00B264CE">
      <w:pPr>
        <w:pStyle w:val="Heading1"/>
      </w:pPr>
      <w:bookmarkStart w:id="2" w:name="O_951900"/>
      <w:bookmarkEnd w:id="2"/>
      <w:r w:rsidRPr="00B264CE">
        <w:t>Performance Evidence</w:t>
      </w:r>
    </w:p>
    <w:p w:rsidR="00000000" w:rsidRPr="00B264CE" w:rsidP="005C661B">
      <w:pPr>
        <w:pStyle w:val="BodyText"/>
      </w:pPr>
      <w:r w:rsidRPr="00B264CE">
        <w:t>Evidence required to demonstrate competence in this unit must be relevant to and satisfy the requirements of the elements and performance criteria on at least two (2) occasions and include:</w:t>
      </w:r>
    </w:p>
    <w:p w:rsidR="00000000" w:rsidRPr="00B264CE" w:rsidP="00B264CE">
      <w:pPr>
        <w:pStyle w:val="ListBullet"/>
      </w:pPr>
      <w:r w:rsidRPr="00B264CE">
        <w:t>following work instructions, standard operating procedures (SOPs)</w:t>
      </w:r>
      <w:r w:rsidRPr="00B264CE">
        <w:t xml:space="preserve"> and safe work practices </w:t>
      </w:r>
    </w:p>
    <w:p w:rsidR="00000000" w:rsidRPr="00B264CE" w:rsidP="00B264CE">
      <w:pPr>
        <w:pStyle w:val="ListBullet"/>
      </w:pPr>
      <w:r w:rsidRPr="00B264CE">
        <w:t>identifying and interpreting specifications, charts, lists and other applicable reference documents to maintain wheels and tyres</w:t>
      </w:r>
    </w:p>
    <w:p w:rsidR="00000000" w:rsidRPr="00B264CE" w:rsidP="00B264CE">
      <w:pPr>
        <w:pStyle w:val="ListBullet"/>
      </w:pPr>
      <w:r w:rsidRPr="00B264CE">
        <w:t>checking wheels and tyres for compliance to specifications</w:t>
      </w:r>
    </w:p>
    <w:p w:rsidR="00000000" w:rsidRPr="00B264CE" w:rsidP="00B264CE">
      <w:pPr>
        <w:pStyle w:val="ListBullet"/>
      </w:pPr>
      <w:r w:rsidRPr="00B264CE">
        <w:t xml:space="preserve">inspecting wheel fastening components for </w:t>
      </w:r>
      <w:r w:rsidRPr="00B264CE">
        <w:t>damage and security and tyres for abnormal wear</w:t>
      </w:r>
    </w:p>
    <w:p w:rsidR="00000000" w:rsidRPr="00B264CE" w:rsidP="00B264CE">
      <w:pPr>
        <w:pStyle w:val="ListBullet"/>
      </w:pPr>
      <w:r w:rsidRPr="00B264CE">
        <w:t>identifying corrective action to be taken for unsafe tyre and wheel condition</w:t>
      </w:r>
    </w:p>
    <w:p w:rsidR="00000000" w:rsidRPr="00B264CE" w:rsidP="00B264CE">
      <w:pPr>
        <w:pStyle w:val="ListBullet"/>
      </w:pPr>
      <w:r w:rsidRPr="00B264CE">
        <w:t>removing and replacing wheels/tyres using appropriate tools, equipment and techniques</w:t>
      </w:r>
    </w:p>
    <w:p w:rsidR="00000000" w:rsidRPr="00B264CE" w:rsidP="00B264CE">
      <w:pPr>
        <w:pStyle w:val="ListBullet"/>
      </w:pPr>
      <w:r w:rsidRPr="00B264CE">
        <w:t>undertaking ballasting and/or inflation of t</w:t>
      </w:r>
      <w:r w:rsidRPr="00B264CE">
        <w:t>yres and balancing wheels to specifications</w:t>
      </w:r>
    </w:p>
    <w:p w:rsidR="00000000" w:rsidRPr="00B264CE" w:rsidP="00B264CE">
      <w:pPr>
        <w:pStyle w:val="ListBullet"/>
      </w:pPr>
      <w:r w:rsidRPr="00B264CE">
        <w:t>identifying and repairing rim, tyres and tube faults to specifications</w:t>
      </w:r>
    </w:p>
    <w:p w:rsidR="00000000" w:rsidRPr="00B264CE" w:rsidP="00B264CE">
      <w:pPr>
        <w:pStyle w:val="ListBullet"/>
      </w:pPr>
      <w:r w:rsidRPr="00B264CE">
        <w:t>lubricating wheel bearings in accordance with specifications</w:t>
      </w:r>
    </w:p>
    <w:p w:rsidR="00000000" w:rsidRPr="00B264CE" w:rsidP="00B264CE">
      <w:pPr>
        <w:pStyle w:val="ListBullet"/>
      </w:pPr>
      <w:r w:rsidRPr="00B264CE">
        <w:t>recording/reporting all service/work activities in accordance with SOPs.</w:t>
      </w:r>
    </w:p>
    <w:p w:rsidR="00000000" w:rsidRPr="00B264CE" w:rsidP="00B264CE">
      <w:pPr>
        <w:pStyle w:val="AllowPageBreak"/>
      </w:pPr>
    </w:p>
    <w:p w:rsidR="00000000" w:rsidRPr="00B264CE" w:rsidP="00B264CE">
      <w:pPr>
        <w:pStyle w:val="Heading1"/>
      </w:pPr>
      <w:bookmarkStart w:id="3" w:name="O_951899"/>
      <w:bookmarkEnd w:id="3"/>
      <w:r w:rsidRPr="00B264CE">
        <w:t>Knowledge Evidence</w:t>
      </w:r>
    </w:p>
    <w:p w:rsidR="00000000" w:rsidRPr="00B264CE" w:rsidP="005C661B">
      <w:pPr>
        <w:pStyle w:val="BodyText"/>
      </w:pPr>
      <w:r w:rsidRPr="00B264CE">
        <w:t>Evidence required to demonstrate the required knowledge for this unit must be relevant to and satisfy the requirements of the elements and performance criteria and include knowledge of:</w:t>
      </w:r>
    </w:p>
    <w:p w:rsidR="00000000" w:rsidRPr="00B264CE" w:rsidP="00B264CE">
      <w:pPr>
        <w:pStyle w:val="ListBullet"/>
      </w:pPr>
      <w:r w:rsidRPr="00B264CE">
        <w:t>safe work practices and procedures and u</w:t>
      </w:r>
      <w:r w:rsidRPr="00B264CE">
        <w:t>se of personal protective equipment (PPE)</w:t>
      </w:r>
    </w:p>
    <w:p w:rsidR="00000000" w:rsidRPr="00B264CE" w:rsidP="00B264CE">
      <w:pPr>
        <w:pStyle w:val="ListBullet"/>
      </w:pPr>
      <w:r w:rsidRPr="00B264CE">
        <w:t xml:space="preserve">design and construction of a variety of rims and tyres </w:t>
      </w:r>
    </w:p>
    <w:p w:rsidR="00000000" w:rsidRPr="00B264CE" w:rsidP="00B264CE">
      <w:pPr>
        <w:pStyle w:val="ListBullet"/>
      </w:pPr>
      <w:r w:rsidRPr="00B264CE">
        <w:t xml:space="preserve">principles of fastening and balancing of wheels </w:t>
      </w:r>
    </w:p>
    <w:p w:rsidR="00000000" w:rsidRPr="00B264CE" w:rsidP="00B264CE">
      <w:pPr>
        <w:pStyle w:val="ListBullet"/>
      </w:pPr>
      <w:r w:rsidRPr="00B264CE">
        <w:t xml:space="preserve">relevant codes and standards </w:t>
      </w:r>
    </w:p>
    <w:p w:rsidR="00000000" w:rsidRPr="00B264CE" w:rsidP="00B264CE">
      <w:pPr>
        <w:pStyle w:val="ListBullet"/>
      </w:pPr>
      <w:r w:rsidRPr="00B264CE">
        <w:t>procedures for:</w:t>
      </w:r>
    </w:p>
    <w:p w:rsidR="00000000" w:rsidRPr="00B264CE" w:rsidP="00B264CE">
      <w:pPr>
        <w:pStyle w:val="ListBullet2"/>
      </w:pPr>
      <w:r w:rsidRPr="00B264CE">
        <w:t>checking wheels for damage and secure fastening and reasons that apply</w:t>
      </w:r>
    </w:p>
    <w:p w:rsidR="00000000" w:rsidRPr="00B264CE" w:rsidP="00B264CE">
      <w:pPr>
        <w:pStyle w:val="ListBullet2"/>
      </w:pPr>
      <w:r w:rsidRPr="00B264CE">
        <w:t>removing, handling, inflating, assembling/disassembling and fastening of tyres and wheels and tools, techniques and equipment to be used</w:t>
      </w:r>
    </w:p>
    <w:p w:rsidR="00000000" w:rsidRPr="00B264CE" w:rsidP="00B264CE">
      <w:pPr>
        <w:pStyle w:val="ListBullet2"/>
      </w:pPr>
      <w:r w:rsidRPr="00B264CE">
        <w:t>static and dynamic balancing of wheels and reaso</w:t>
      </w:r>
      <w:r w:rsidRPr="00B264CE">
        <w:t>ns for selecting the chosen tools, techniques and equipment</w:t>
      </w:r>
    </w:p>
    <w:p w:rsidR="00000000" w:rsidRPr="00B264CE" w:rsidP="00B264CE">
      <w:pPr>
        <w:pStyle w:val="ListBullet2"/>
      </w:pPr>
      <w:r w:rsidRPr="00B264CE">
        <w:t>repairing rim, tyre and tube faults and tools, techniques and equipment to be used</w:t>
      </w:r>
    </w:p>
    <w:p w:rsidR="00000000" w:rsidRPr="00B264CE" w:rsidP="00B264CE">
      <w:pPr>
        <w:pStyle w:val="ListBullet2"/>
      </w:pPr>
      <w:r w:rsidRPr="00B264CE">
        <w:t>recording repairs undertaken on rims, tyres and tubes</w:t>
      </w:r>
    </w:p>
    <w:p w:rsidR="00000000" w:rsidRPr="00B264CE" w:rsidP="00B264CE">
      <w:pPr>
        <w:pStyle w:val="ListBullet2"/>
      </w:pPr>
      <w:r w:rsidRPr="00B264CE">
        <w:t>lubricating wheel bearings and the type of lubricant and th</w:t>
      </w:r>
      <w:r w:rsidRPr="00B264CE">
        <w:t>eir application that applies</w:t>
      </w:r>
    </w:p>
    <w:p w:rsidR="00000000" w:rsidRPr="00B264CE" w:rsidP="00B264CE">
      <w:pPr>
        <w:pStyle w:val="ListBullet"/>
      </w:pPr>
      <w:r w:rsidRPr="00B264CE">
        <w:t xml:space="preserve">causes of abnormal tyre wear and examples and causes of unsafe tyre and wheel condition </w:t>
      </w:r>
    </w:p>
    <w:p w:rsidR="00000000" w:rsidRPr="00B264CE" w:rsidP="00B264CE">
      <w:pPr>
        <w:pStyle w:val="ListBullet"/>
      </w:pPr>
      <w:r w:rsidRPr="00B264CE">
        <w:t>examples of unrepairable rim, tyre and tube faults.</w:t>
      </w:r>
    </w:p>
    <w:p w:rsidR="00000000" w:rsidRPr="00B264CE" w:rsidP="00B264CE">
      <w:pPr>
        <w:pStyle w:val="AllowPageBreak"/>
      </w:pPr>
    </w:p>
    <w:p w:rsidR="00000000" w:rsidRPr="00B264CE" w:rsidP="00B264CE">
      <w:pPr>
        <w:pStyle w:val="Heading1"/>
      </w:pPr>
      <w:bookmarkStart w:id="4" w:name="O_951898"/>
      <w:bookmarkEnd w:id="4"/>
      <w:r w:rsidRPr="00B264CE">
        <w:t>Assessment Conditions</w:t>
      </w:r>
    </w:p>
    <w:p w:rsidR="00000000" w:rsidRPr="00B264CE" w:rsidP="00B264CE">
      <w:pPr>
        <w:pStyle w:val="ListBullet"/>
      </w:pPr>
      <w:r w:rsidRPr="00B264CE">
        <w:t>Assessors must:</w:t>
      </w:r>
    </w:p>
    <w:p w:rsidR="00000000" w:rsidRPr="00B264CE" w:rsidP="00B264CE">
      <w:pPr>
        <w:pStyle w:val="ListBullet2"/>
      </w:pPr>
      <w:r w:rsidRPr="00B264CE">
        <w:t>have vocational competency i</w:t>
      </w:r>
      <w:r w:rsidRPr="00B264CE">
        <w:t>n maintaining wheels and tyres at least to the level being assessed with relevant industry knowledge and experience</w:t>
      </w:r>
    </w:p>
    <w:p w:rsidR="00000000" w:rsidRPr="00B264CE" w:rsidP="00B264CE">
      <w:pPr>
        <w:pStyle w:val="ListBullet2"/>
      </w:pPr>
      <w:r w:rsidRPr="00B264CE">
        <w:t xml:space="preserve">satisfy the assessor requirements in the </w:t>
      </w:r>
      <w:r w:rsidRPr="00B264CE">
        <w:rPr>
          <w:rStyle w:val="Emphasis"/>
        </w:rPr>
        <w:t xml:space="preserve">Standards for Registered Training Organisations 2015 </w:t>
      </w:r>
      <w:r w:rsidRPr="00B264CE">
        <w:t>or its replacement</w:t>
      </w:r>
      <w:r w:rsidRPr="00B264CE">
        <w:rPr>
          <w:rStyle w:val="Emphasis"/>
        </w:rPr>
        <w:t xml:space="preserve"> </w:t>
      </w:r>
      <w:r w:rsidRPr="00B264CE">
        <w:t xml:space="preserve">and comply with the </w:t>
      </w:r>
      <w:r w:rsidRPr="00B264CE">
        <w:rPr>
          <w:rStyle w:val="Emphasis"/>
        </w:rPr>
        <w:t xml:space="preserve">National Vocational Education and Training Regulator Act 2011, </w:t>
      </w:r>
      <w:r w:rsidRPr="00B264CE">
        <w:t>its replacement</w:t>
      </w:r>
      <w:r w:rsidRPr="00B264CE">
        <w:rPr>
          <w:rStyle w:val="Emphasis"/>
        </w:rPr>
        <w:t xml:space="preserve"> </w:t>
      </w:r>
      <w:r w:rsidRPr="00B264CE">
        <w:t>or equivalent legislation covering VET regulation in a non-referring state/territory as the case requires</w:t>
      </w:r>
    </w:p>
    <w:p w:rsidR="00000000" w:rsidRPr="00B264CE" w:rsidP="00B264CE">
      <w:pPr>
        <w:pStyle w:val="ListBullet"/>
      </w:pPr>
      <w:r w:rsidRPr="00B264CE">
        <w:t>Where possible assessment must occur in operational workplace situatio</w:t>
      </w:r>
      <w:r w:rsidRPr="00B264CE">
        <w:t>ns. Where this is not possible or where personal safety or environmental damage are limiting factors, assessment must occur in a sufficiently rigorous simulated environment that reflects realistic operational workplace conditions. This must cover all aspec</w:t>
      </w:r>
      <w:r w:rsidRPr="00B264CE">
        <w:t>ts of workplace performance, including environment, task skills, task management skills, contingency management skills and job role environment skills</w:t>
      </w:r>
    </w:p>
    <w:p w:rsidR="00000000" w:rsidRPr="00B264CE" w:rsidP="00B264CE">
      <w:pPr>
        <w:pStyle w:val="ListBullet"/>
      </w:pPr>
      <w:r w:rsidRPr="00B264CE">
        <w:t>Conditions for assessment must include access to all tools, equipment, materials and documentation requir</w:t>
      </w:r>
      <w:r w:rsidRPr="00B264CE">
        <w:t>ed, including relevant workplace procedures, product and manufacturing specifications</w:t>
      </w:r>
    </w:p>
    <w:p w:rsidR="00000000" w:rsidRPr="00B264CE" w:rsidP="00B264CE">
      <w:pPr>
        <w:pStyle w:val="ListBullet"/>
      </w:pPr>
      <w:r w:rsidRPr="00B264CE">
        <w:t>Assessment processes and techniques must be appropriate to the language, literacy and numeracy requirements of the work being performed and the needs of the candidate.</w:t>
      </w:r>
    </w:p>
    <w:p w:rsidR="00000000" w:rsidRPr="00B264CE" w:rsidP="00B264CE">
      <w:pPr>
        <w:pStyle w:val="AllowPageBreak"/>
      </w:pPr>
    </w:p>
    <w:p w:rsidR="00000000" w:rsidRPr="00B264CE" w:rsidP="00B264CE">
      <w:pPr>
        <w:pStyle w:val="Heading1"/>
      </w:pPr>
      <w:bookmarkStart w:id="5" w:name="O_951896"/>
      <w:bookmarkEnd w:id="5"/>
      <w:r w:rsidRPr="00B264CE">
        <w:t>Links</w:t>
      </w:r>
    </w:p>
    <w:p w:rsidR="00000000" w:rsidRPr="00B264CE" w:rsidP="005C661B">
      <w:pPr>
        <w:pStyle w:val="BodyText"/>
      </w:pPr>
      <w:r w:rsidRPr="00B264C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866556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B264CE" w:rsidP="00B264CE"/>
    <w:sectPr w:rsidSect="00B264C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64C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64CE" w:rsidRPr="005C661B" w:rsidP="005C661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64C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661B" w:rsidP="00B264C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C661B" w:rsidP="00B264C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5C661B" w:rsidP="00B264C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64C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661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264CE" w:rsidRPr="005C661B" w:rsidP="005C661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64C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661B" w:rsidRPr="002D2AF8" w:rsidP="00B264C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MEM27029 Maintain wheels and tyres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5C661B" w:rsidP="00B264C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99AD49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C64547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0B8777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264C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264C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264C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264C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264C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264C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264C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264C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264C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264C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264C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264CE"/>
  </w:style>
  <w:style w:type="character" w:customStyle="1" w:styleId="Heading1Char">
    <w:name w:val="Heading 1 Char"/>
    <w:basedOn w:val="DefaultParagraphFont"/>
    <w:link w:val="Heading1"/>
    <w:rsid w:val="00B264C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264C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264C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264CE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264CE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B264CE"/>
    <w:rPr>
      <w:i/>
    </w:rPr>
  </w:style>
  <w:style w:type="paragraph" w:customStyle="1" w:styleId="SuperHeading">
    <w:name w:val="SuperHeading"/>
    <w:basedOn w:val="Normal"/>
    <w:rsid w:val="00B264C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264C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264C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264C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264C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264C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264C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264C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264C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264C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264C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264C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264C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264C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264C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264C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264C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264C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264C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264C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264C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264C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264CE"/>
    <w:rPr>
      <w:b/>
      <w:spacing w:val="0"/>
    </w:rPr>
  </w:style>
  <w:style w:type="paragraph" w:customStyle="1" w:styleId="SuperTitle">
    <w:name w:val="SuperTitle"/>
    <w:basedOn w:val="Title"/>
    <w:rsid w:val="00B264C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264C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264C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264C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264C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264C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264C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264C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264C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264C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264C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264C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264C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264C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264C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264CE"/>
  </w:style>
  <w:style w:type="paragraph" w:styleId="TableofFigures">
    <w:name w:val="table of figures"/>
    <w:basedOn w:val="Normal"/>
    <w:next w:val="Normal"/>
    <w:semiHidden/>
    <w:rsid w:val="00B264C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264C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264CE"/>
    <w:rPr>
      <w:rFonts w:ascii="Wingdings" w:hAnsi="Wingdings"/>
    </w:rPr>
  </w:style>
  <w:style w:type="paragraph" w:customStyle="1" w:styleId="TableHeading">
    <w:name w:val="Table Heading"/>
    <w:basedOn w:val="HeadingBase"/>
    <w:rsid w:val="00B264C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264CE"/>
    <w:rPr>
      <w:color w:val="0033CC"/>
      <w:u w:val="none"/>
    </w:rPr>
  </w:style>
  <w:style w:type="paragraph" w:customStyle="1" w:styleId="BodyTextRight">
    <w:name w:val="Body Text Right"/>
    <w:basedOn w:val="BodyText"/>
    <w:rsid w:val="00B264C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264C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264C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264C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264C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264C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264CE"/>
    <w:rPr>
      <w:sz w:val="32"/>
    </w:rPr>
  </w:style>
  <w:style w:type="paragraph" w:customStyle="1" w:styleId="HeadingProcedure">
    <w:name w:val="Heading Procedure"/>
    <w:basedOn w:val="HeadingBase"/>
    <w:next w:val="Normal"/>
    <w:rsid w:val="00B264C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264CE"/>
    <w:pPr>
      <w:spacing w:before="60" w:after="60"/>
    </w:pPr>
  </w:style>
  <w:style w:type="paragraph" w:styleId="ListContinue">
    <w:name w:val="List Continue"/>
    <w:basedOn w:val="List"/>
    <w:rsid w:val="00B264CE"/>
    <w:pPr>
      <w:ind w:firstLine="0"/>
    </w:pPr>
  </w:style>
  <w:style w:type="paragraph" w:customStyle="1" w:styleId="ListNote">
    <w:name w:val="List Note"/>
    <w:basedOn w:val="List"/>
    <w:rsid w:val="00B264C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264C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264C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264CE"/>
    <w:rPr>
      <w:rFonts w:ascii="Courier New" w:hAnsi="Courier New"/>
    </w:rPr>
  </w:style>
  <w:style w:type="paragraph" w:customStyle="1" w:styleId="NoteBullet">
    <w:name w:val="Note Bullet"/>
    <w:basedOn w:val="Note"/>
    <w:rsid w:val="00B264C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264C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264C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264C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264C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264C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264C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264CE"/>
    <w:rPr>
      <w:b/>
      <w:smallCaps/>
    </w:rPr>
  </w:style>
  <w:style w:type="paragraph" w:customStyle="1" w:styleId="TableListNumber">
    <w:name w:val="Table List Number"/>
    <w:basedOn w:val="ListNumber"/>
    <w:rsid w:val="00B264C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264C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264CE"/>
    <w:pPr>
      <w:numPr>
        <w:numId w:val="9"/>
      </w:numPr>
    </w:pPr>
  </w:style>
  <w:style w:type="paragraph" w:customStyle="1" w:styleId="ListAlpha2">
    <w:name w:val="List Alpha 2"/>
    <w:basedOn w:val="List2"/>
    <w:rsid w:val="00B264CE"/>
    <w:pPr>
      <w:numPr>
        <w:numId w:val="8"/>
      </w:numPr>
    </w:pPr>
  </w:style>
  <w:style w:type="paragraph" w:styleId="List2">
    <w:name w:val="List 2"/>
    <w:basedOn w:val="BodyText"/>
    <w:rsid w:val="00B264C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264C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264C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264C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264C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264C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264CE"/>
    <w:pPr>
      <w:numPr>
        <w:numId w:val="4"/>
      </w:numPr>
    </w:pPr>
  </w:style>
  <w:style w:type="paragraph" w:styleId="ListContinue2">
    <w:name w:val="List Continue 2"/>
    <w:basedOn w:val="List2"/>
    <w:rsid w:val="00B264CE"/>
    <w:pPr>
      <w:ind w:firstLine="0"/>
    </w:pPr>
  </w:style>
  <w:style w:type="paragraph" w:styleId="ListContinue3">
    <w:name w:val="List Continue 3"/>
    <w:basedOn w:val="List3"/>
    <w:rsid w:val="00B264CE"/>
    <w:pPr>
      <w:ind w:left="1021" w:firstLine="0"/>
    </w:pPr>
  </w:style>
  <w:style w:type="paragraph" w:styleId="ListContinue4">
    <w:name w:val="List Continue 4"/>
    <w:basedOn w:val="List4"/>
    <w:rsid w:val="00B264CE"/>
    <w:pPr>
      <w:ind w:firstLine="0"/>
    </w:pPr>
  </w:style>
  <w:style w:type="paragraph" w:styleId="ListContinue5">
    <w:name w:val="List Continue 5"/>
    <w:basedOn w:val="List5"/>
    <w:rsid w:val="00B264CE"/>
    <w:pPr>
      <w:ind w:firstLine="0"/>
    </w:pPr>
  </w:style>
  <w:style w:type="paragraph" w:styleId="ListNumber3">
    <w:name w:val="List Number 3"/>
    <w:basedOn w:val="List3"/>
    <w:rsid w:val="00B264CE"/>
    <w:pPr>
      <w:numPr>
        <w:numId w:val="5"/>
      </w:numPr>
    </w:pPr>
  </w:style>
  <w:style w:type="paragraph" w:styleId="ListNumber4">
    <w:name w:val="List Number 4"/>
    <w:basedOn w:val="List4"/>
    <w:rsid w:val="00B264CE"/>
    <w:pPr>
      <w:numPr>
        <w:numId w:val="6"/>
      </w:numPr>
    </w:pPr>
  </w:style>
  <w:style w:type="paragraph" w:styleId="ListNumber5">
    <w:name w:val="List Number 5"/>
    <w:basedOn w:val="List5"/>
    <w:rsid w:val="00B264CE"/>
    <w:pPr>
      <w:numPr>
        <w:numId w:val="7"/>
      </w:numPr>
    </w:pPr>
  </w:style>
  <w:style w:type="paragraph" w:styleId="BlockText">
    <w:name w:val="Block Text"/>
    <w:basedOn w:val="Normal"/>
    <w:rsid w:val="00B264C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264C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264CE"/>
    <w:rPr>
      <w:sz w:val="16"/>
      <w:vertAlign w:val="superscript"/>
    </w:rPr>
  </w:style>
  <w:style w:type="character" w:customStyle="1" w:styleId="Symbols">
    <w:name w:val="Symbols"/>
    <w:basedOn w:val="DefaultParagraphFont"/>
    <w:rsid w:val="00B264CE"/>
    <w:rPr>
      <w:rFonts w:ascii="Symbol" w:hAnsi="Symbol"/>
    </w:rPr>
  </w:style>
  <w:style w:type="character" w:customStyle="1" w:styleId="MenuOptions">
    <w:name w:val="Menu Options"/>
    <w:basedOn w:val="DefaultParagraphFont"/>
    <w:rsid w:val="00B264C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264CE"/>
    <w:rPr>
      <w:b/>
    </w:rPr>
  </w:style>
  <w:style w:type="character" w:customStyle="1" w:styleId="Underlined">
    <w:name w:val="Underlined"/>
    <w:basedOn w:val="DefaultParagraphFont"/>
    <w:rsid w:val="00B264CE"/>
    <w:rPr>
      <w:u w:val="single"/>
    </w:rPr>
  </w:style>
  <w:style w:type="paragraph" w:customStyle="1" w:styleId="TableBodyTextRight">
    <w:name w:val="Table Body Text Right"/>
    <w:basedOn w:val="TableBodyText"/>
    <w:rsid w:val="00B264C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264CE"/>
    <w:rPr>
      <w:sz w:val="18"/>
    </w:rPr>
  </w:style>
  <w:style w:type="paragraph" w:customStyle="1" w:styleId="BodySmallRight">
    <w:name w:val="Body Small Right"/>
    <w:basedOn w:val="BodyTextRight"/>
    <w:rsid w:val="00B264CE"/>
    <w:rPr>
      <w:sz w:val="18"/>
      <w:szCs w:val="18"/>
    </w:rPr>
  </w:style>
  <w:style w:type="paragraph" w:customStyle="1" w:styleId="MarginEdition">
    <w:name w:val="Margin Edition"/>
    <w:basedOn w:val="MarginNote"/>
    <w:rsid w:val="00B264C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264CE"/>
    <w:rPr>
      <w:sz w:val="2"/>
      <w:szCs w:val="2"/>
    </w:rPr>
  </w:style>
  <w:style w:type="character" w:customStyle="1" w:styleId="Small">
    <w:name w:val="Small"/>
    <w:basedOn w:val="DefaultParagraphFont"/>
    <w:rsid w:val="00B264CE"/>
    <w:rPr>
      <w:sz w:val="16"/>
    </w:rPr>
  </w:style>
  <w:style w:type="paragraph" w:customStyle="1" w:styleId="WideTable">
    <w:name w:val="Wide Table"/>
    <w:basedOn w:val="Normal"/>
    <w:rsid w:val="00B264C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264CE"/>
  </w:style>
  <w:style w:type="paragraph" w:styleId="Quote">
    <w:name w:val="Quote"/>
    <w:basedOn w:val="Heading1"/>
    <w:link w:val="QuoteChar"/>
    <w:qFormat/>
    <w:rsid w:val="00B264C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264C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264CE"/>
    <w:pPr>
      <w:pageBreakBefore/>
    </w:pPr>
  </w:style>
  <w:style w:type="paragraph" w:customStyle="1" w:styleId="Border">
    <w:name w:val="Border"/>
    <w:basedOn w:val="Normal"/>
    <w:qFormat/>
    <w:rsid w:val="00B264C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264C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264C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264C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264C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264C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264C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264C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264C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264CE"/>
    <w:rPr>
      <w:u w:val="single"/>
    </w:rPr>
  </w:style>
  <w:style w:type="character" w:customStyle="1" w:styleId="BoldandItalics">
    <w:name w:val="Bold and Italics"/>
    <w:qFormat/>
    <w:rsid w:val="00B264CE"/>
    <w:rPr>
      <w:b/>
      <w:i/>
      <w:u w:val="none"/>
    </w:rPr>
  </w:style>
  <w:style w:type="paragraph" w:styleId="BalloonText">
    <w:name w:val="Balloon Text"/>
    <w:basedOn w:val="Normal"/>
    <w:link w:val="BalloonTextChar"/>
    <w:rsid w:val="00B264C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264C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264C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264C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264C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264C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264CE"/>
    <w:pPr>
      <w:spacing w:before="0" w:after="0"/>
    </w:pPr>
  </w:style>
  <w:style w:type="paragraph" w:customStyle="1" w:styleId="BodyTextBold">
    <w:name w:val="Body Text Bold"/>
    <w:basedOn w:val="BodyText"/>
    <w:qFormat/>
    <w:rsid w:val="00B264CE"/>
    <w:rPr>
      <w:b/>
    </w:rPr>
  </w:style>
  <w:style w:type="character" w:styleId="Hyperlink">
    <w:name w:val="Hyperlink"/>
    <w:basedOn w:val="DefaultParagraphFont"/>
    <w:uiPriority w:val="99"/>
    <w:unhideWhenUsed/>
    <w:rsid w:val="005C661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546</Words>
  <Characters>3511</Characters>
  <Application>Microsoft Office Word</Application>
  <DocSecurity>0</DocSecurity>
  <Lines>73</Lines>
  <Paragraphs>48</Paragraphs>
  <ScaleCrop>false</ScaleCrop>
  <Company>Author-it Software Corporation Ltd.</Company>
  <LinksUpToDate>false</LinksUpToDate>
  <CharactersWithSpaces>4009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MEM27029 Maintain wheels and tyres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2023-02-03T06:29:00Z</dcterms:created>
  <dcterms:modified xsi:type="dcterms:W3CDTF">2023-02-03T06:29:00Z</dcterms:modified>
</cp:coreProperties>
</file>