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6DB3" w:rsidP="00146D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MEM27024 Diagnose and rectify mobile plant hydrostatic systems</w:t>
      </w:r>
      <w:r>
        <w:fldChar w:fldCharType="end"/>
      </w:r>
    </w:p>
    <w:p w:rsidR="00146DB3" w:rsidP="00146DB3">
      <w:pPr>
        <w:pStyle w:val="Version"/>
        <w:sectPr w:rsidSect="00E62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B6F" w:rsidP="00E62B6F">
      <w:pPr>
        <w:pStyle w:val="SuperHeading"/>
      </w:pPr>
      <w:r w:rsidRPr="00E62B6F">
        <w:t>MEM27024 Diag</w:t>
      </w:r>
      <w:r w:rsidRPr="00E62B6F">
        <w:t>nose and rectify mobile plant hydrostatic systems</w:t>
      </w:r>
    </w:p>
    <w:p w:rsidR="00000000" w:rsidRPr="00E62B6F" w:rsidP="00E62B6F">
      <w:pPr>
        <w:pStyle w:val="Heading1"/>
      </w:pPr>
      <w:bookmarkStart w:id="1" w:name="O_960236"/>
      <w:bookmarkEnd w:id="1"/>
      <w:r w:rsidRPr="00E62B6F">
        <w:t>Modification History</w:t>
      </w:r>
    </w:p>
    <w:p w:rsidR="00000000" w:rsidRPr="00E62B6F" w:rsidP="00146DB3">
      <w:pPr>
        <w:pStyle w:val="BodyText"/>
      </w:pPr>
      <w:r w:rsidRPr="00E62B6F">
        <w:t>Release 1: New unit</w:t>
      </w:r>
    </w:p>
    <w:p w:rsidR="00000000" w:rsidRPr="00E62B6F" w:rsidP="00E62B6F">
      <w:pPr>
        <w:pStyle w:val="Heading1"/>
      </w:pPr>
      <w:bookmarkStart w:id="2" w:name="O_960244"/>
      <w:bookmarkEnd w:id="2"/>
      <w:r w:rsidRPr="00E62B6F">
        <w:t>Application</w:t>
      </w:r>
    </w:p>
    <w:p w:rsidR="00000000" w:rsidRPr="00E62B6F" w:rsidP="00146DB3">
      <w:pPr>
        <w:pStyle w:val="BodyText"/>
      </w:pPr>
      <w:r w:rsidRPr="00E62B6F">
        <w:t>This unit of competency defines the skills and knowledge required to assess converter/transmission operation, and repair or replace faulty components.</w:t>
      </w:r>
    </w:p>
    <w:p w:rsidR="00000000" w:rsidRPr="00E62B6F" w:rsidP="00146DB3">
      <w:pPr>
        <w:pStyle w:val="BodyText"/>
      </w:pPr>
      <w:r w:rsidRPr="00E62B6F">
        <w:t>It applies to hydrostatic systems used in mobile plant applications, including steering, transmissions an</w:t>
      </w:r>
      <w:r w:rsidRPr="00E62B6F">
        <w:t>d other closed circuit systems. It provides additional specialist skills and knowledge in hydrostatics and is designed to complement the MEM units relevant to the particular equipment systems.</w:t>
      </w:r>
    </w:p>
    <w:p w:rsidR="00000000" w:rsidRPr="00E62B6F" w:rsidP="00146DB3">
      <w:pPr>
        <w:pStyle w:val="BodyText"/>
      </w:pPr>
      <w:r w:rsidRPr="00E62B6F">
        <w:t>No licensing, legislative or certification requirements apply t</w:t>
      </w:r>
      <w:r w:rsidRPr="00E62B6F">
        <w:t>o this unit at the time of publication.</w:t>
      </w:r>
    </w:p>
    <w:p w:rsidR="00000000" w:rsidRPr="00E62B6F" w:rsidP="00E62B6F">
      <w:pPr>
        <w:pStyle w:val="BodyText"/>
      </w:pPr>
      <w:r w:rsidRPr="00E62B6F">
        <w:rPr>
          <w:rStyle w:val="SpecialBold"/>
        </w:rPr>
        <w:t>Band</w:t>
      </w:r>
      <w:r w:rsidRPr="00E62B6F">
        <w:t>:</w:t>
      </w:r>
      <w:r w:rsidRPr="00E62B6F">
        <w:tab/>
      </w:r>
      <w:r w:rsidRPr="00E62B6F">
        <w:rPr>
          <w:rStyle w:val="SpecialBold"/>
        </w:rPr>
        <w:t>B</w:t>
      </w:r>
    </w:p>
    <w:p w:rsidR="00000000" w:rsidRPr="00E62B6F" w:rsidP="00E62B6F">
      <w:pPr>
        <w:pStyle w:val="BodyText"/>
      </w:pPr>
      <w:r w:rsidRPr="00E62B6F">
        <w:rPr>
          <w:rStyle w:val="SpecialBold"/>
        </w:rPr>
        <w:t>Unit Weight</w:t>
      </w:r>
      <w:r w:rsidRPr="00E62B6F">
        <w:t>:</w:t>
      </w:r>
      <w:r w:rsidRPr="00E62B6F">
        <w:tab/>
      </w:r>
      <w:r w:rsidRPr="00E62B6F">
        <w:rPr>
          <w:rStyle w:val="SpecialBold"/>
        </w:rPr>
        <w:t>4</w:t>
      </w:r>
    </w:p>
    <w:p w:rsidR="00000000" w:rsidRPr="00E62B6F" w:rsidP="00E62B6F">
      <w:pPr>
        <w:pStyle w:val="AllowPageBreak"/>
      </w:pPr>
    </w:p>
    <w:p w:rsidR="00000000" w:rsidRPr="00E62B6F" w:rsidP="00E62B6F">
      <w:pPr>
        <w:pStyle w:val="Heading1"/>
      </w:pPr>
      <w:bookmarkStart w:id="3" w:name="O_960243"/>
      <w:bookmarkEnd w:id="3"/>
      <w:r w:rsidRPr="00E62B6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51"/>
        <w:gridCol w:w="7391"/>
      </w:tblGrid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MEM09002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Interpret technical drawing</w:t>
            </w:r>
          </w:p>
        </w:tc>
      </w:tr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MEM11011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Undertake manual handling</w:t>
            </w:r>
          </w:p>
        </w:tc>
      </w:tr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MEM12023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Perform engineering measurements</w:t>
            </w:r>
          </w:p>
        </w:tc>
      </w:tr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MEM13015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Work safely and effectively in manufacturing and engineering</w:t>
            </w:r>
          </w:p>
        </w:tc>
      </w:tr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MEM16006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Organise and communicate information</w:t>
            </w:r>
          </w:p>
        </w:tc>
      </w:tr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MEM18001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Use hand tools</w:t>
            </w:r>
          </w:p>
        </w:tc>
      </w:tr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MEM18002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Use power tools/hand held operations</w:t>
            </w:r>
          </w:p>
        </w:tc>
      </w:tr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MEM18055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Dismantle, replace and assemble engineering components</w:t>
            </w:r>
          </w:p>
        </w:tc>
      </w:tr>
      <w:tr w:rsidTr="00E62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MEM27017</w:t>
            </w:r>
          </w:p>
        </w:tc>
        <w:tc>
          <w:tcPr>
            <w:tcW w:w="73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BodyText"/>
            </w:pPr>
            <w:r w:rsidRPr="00E62B6F">
              <w:t>M</w:t>
            </w:r>
            <w:r w:rsidRPr="00E62B6F">
              <w:t>aintain, fault find and rectify hydraulic systems for mobile plant</w:t>
            </w:r>
          </w:p>
        </w:tc>
      </w:tr>
    </w:tbl>
    <w:p w:rsidR="00000000" w:rsidRPr="00E62B6F" w:rsidP="00E62B6F">
      <w:pPr>
        <w:pStyle w:val="BodyText"/>
      </w:pPr>
    </w:p>
    <w:p w:rsidR="00000000" w:rsidRPr="00E62B6F" w:rsidP="00E62B6F">
      <w:pPr>
        <w:pStyle w:val="AllowPageBreak"/>
      </w:pPr>
    </w:p>
    <w:p w:rsidR="00000000" w:rsidRPr="00E62B6F" w:rsidP="00E62B6F">
      <w:pPr>
        <w:pStyle w:val="Heading1"/>
      </w:pPr>
      <w:bookmarkStart w:id="4" w:name="O_960242"/>
      <w:bookmarkEnd w:id="4"/>
      <w:r w:rsidRPr="00E62B6F">
        <w:t>Competency Field</w:t>
      </w:r>
    </w:p>
    <w:p w:rsidR="00000000" w:rsidRPr="00E62B6F" w:rsidP="00146DB3">
      <w:pPr>
        <w:pStyle w:val="BodyText"/>
      </w:pPr>
      <w:r w:rsidRPr="00E62B6F">
        <w:t>Fixed and Mobile Plant</w:t>
      </w:r>
    </w:p>
    <w:p w:rsidR="00000000" w:rsidRPr="00E62B6F" w:rsidP="00E62B6F">
      <w:pPr>
        <w:pStyle w:val="Heading1"/>
      </w:pPr>
      <w:bookmarkStart w:id="5" w:name="O_960240"/>
      <w:bookmarkEnd w:id="5"/>
      <w:r w:rsidRPr="00E62B6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680"/>
        <w:gridCol w:w="2155"/>
        <w:gridCol w:w="680"/>
        <w:gridCol w:w="6124"/>
      </w:tblGrid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Elements describe the essential outcomes.</w:t>
            </w:r>
          </w:p>
        </w:tc>
        <w:tc>
          <w:tcPr>
            <w:tcW w:w="68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Performance criteria describe the performance needed to demonstrate achievement of the element.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BodyText"/>
            </w:pPr>
            <w:r w:rsidRPr="00E62B6F">
              <w:t>1</w:t>
            </w:r>
          </w:p>
          <w:p w:rsidR="00000000" w:rsidRPr="00E62B6F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BodyText"/>
            </w:pPr>
            <w:r w:rsidRPr="00E62B6F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1.1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Follow standard operating procedures (SOPs)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1.2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Comply with work health and safety (WHS) requirements at all times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1.3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Use appropriate personal protective equipment (PPE) in accordance with SOPs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1.4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Identify job requirements from specifications, drawings, job sheets or work instructions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BodyText"/>
            </w:pPr>
            <w:r w:rsidRPr="00E62B6F">
              <w:t>2</w:t>
            </w:r>
          </w:p>
          <w:p w:rsidR="00000000" w:rsidRPr="00E62B6F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BodyText"/>
            </w:pPr>
            <w:r w:rsidRPr="00E62B6F">
              <w:rPr>
                <w:rStyle w:val="SpecialBold"/>
              </w:rPr>
              <w:t xml:space="preserve">Identify and assess the function and operation of hydrostatic system components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2.1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Identify motor and pump configurations used on equipment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2.2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 xml:space="preserve">Identify pump types and control methods 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2.3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Check pump prime mover and alignment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2.4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Identify charge pumps and assess operation against specifications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2.5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 xml:space="preserve">Identify control valves and functions, including special control features 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2.6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Identify load sensors, other sensors, control modules, fieldbus circuits and other electrical or elec</w:t>
            </w:r>
            <w:r w:rsidRPr="00E62B6F">
              <w:t>tronic components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2.7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 xml:space="preserve">Locate and check filters, hydraulic lines, heat exchangers and reservoirs 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2.8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 xml:space="preserve">Test system operation and integrity according to manufacturer specifications 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BodyText"/>
            </w:pPr>
            <w:r w:rsidRPr="00E62B6F">
              <w:t>3</w:t>
            </w:r>
          </w:p>
          <w:p w:rsidR="00000000" w:rsidRPr="00E62B6F">
            <w:pPr>
              <w:pStyle w:val="BodyText"/>
              <w:keepLines w:val="0"/>
            </w:pPr>
          </w:p>
        </w:tc>
        <w:tc>
          <w:tcPr>
            <w:tcW w:w="215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BodyText"/>
            </w:pPr>
            <w:r w:rsidRPr="00E62B6F">
              <w:rPr>
                <w:rStyle w:val="SpecialBold"/>
              </w:rPr>
              <w:t>Repair/replace faulty components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3.1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Interpret test results and determine components requiring repairs or replacement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3.2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Determine component wear and clearances using appropriate test equipment and manufacturer recommendations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3.3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Select replacement components using manufacturer’s data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3.4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Remove and refit components to hydrostatic system using appropriate tools, equipment and techniques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3.5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Test performance of hydrostatic system against specification</w:t>
            </w:r>
          </w:p>
        </w:tc>
      </w:tr>
      <w:tr w:rsidTr="00146DB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3.6</w:t>
            </w:r>
          </w:p>
        </w:tc>
        <w:tc>
          <w:tcPr>
            <w:tcW w:w="61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BodyText"/>
            </w:pPr>
            <w:r w:rsidRPr="00E62B6F">
              <w:t>Record all test and rectification activities</w:t>
            </w:r>
          </w:p>
        </w:tc>
      </w:tr>
    </w:tbl>
    <w:p w:rsidR="00000000" w:rsidRPr="00E62B6F" w:rsidP="00E62B6F">
      <w:pPr>
        <w:pStyle w:val="BodyText"/>
      </w:pPr>
    </w:p>
    <w:p w:rsidR="00000000" w:rsidRPr="00E62B6F" w:rsidP="00E62B6F">
      <w:pPr>
        <w:pStyle w:val="AllowPageBreak"/>
      </w:pPr>
    </w:p>
    <w:p w:rsidR="00000000" w:rsidRPr="00E62B6F" w:rsidP="00E62B6F">
      <w:pPr>
        <w:pStyle w:val="Heading1"/>
      </w:pPr>
      <w:bookmarkStart w:id="6" w:name="O_960239"/>
      <w:bookmarkEnd w:id="6"/>
      <w:r w:rsidRPr="00E62B6F">
        <w:t>Foundation Skills</w:t>
      </w:r>
    </w:p>
    <w:p w:rsidR="00000000" w:rsidRPr="00E62B6F" w:rsidP="00146DB3">
      <w:pPr>
        <w:pStyle w:val="BodyText"/>
      </w:pPr>
      <w:r w:rsidRPr="00E62B6F">
        <w:t xml:space="preserve">This section describes those required skills (reading, writing, oral communication and numeracy) that are essential to workplace performance in this unit of competency.  </w:t>
      </w:r>
    </w:p>
    <w:p w:rsidR="00000000" w:rsidRPr="00E62B6F" w:rsidP="00146DB3">
      <w:pPr>
        <w:pStyle w:val="BodyText"/>
      </w:pPr>
      <w:r w:rsidRPr="00E62B6F">
        <w:t>Foundation skills essential to performance are explicit in the per</w:t>
      </w:r>
      <w:r w:rsidRPr="00E62B6F">
        <w:t>formance criteria of this unit of competency.</w:t>
      </w:r>
    </w:p>
    <w:p w:rsidR="00000000" w:rsidRPr="00E62B6F" w:rsidP="00E62B6F">
      <w:pPr>
        <w:pStyle w:val="Heading1"/>
      </w:pPr>
      <w:bookmarkStart w:id="7" w:name="O_960238"/>
      <w:bookmarkEnd w:id="7"/>
      <w:r w:rsidRPr="00E62B6F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62B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t>This field allows for different work environments and conditions that may affect performance. Essential operating conditions that may be present (depending on the work situa</w:t>
            </w:r>
            <w:r w:rsidRPr="00E62B6F">
              <w:t>tion, needs of the candidate, accessibility of the item, and local industry and regional contexts) are included.</w:t>
            </w:r>
          </w:p>
        </w:tc>
      </w:tr>
      <w:tr w:rsidTr="00E62B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rPr>
                <w:rStyle w:val="SpecialBold"/>
              </w:rPr>
              <w:t>Hydrostatic motor and pump configuration includes one (1)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ListBullet"/>
            </w:pPr>
            <w:r w:rsidRPr="00E62B6F">
              <w:t>close coupled (motor and pump back to back units)</w:t>
            </w:r>
          </w:p>
          <w:p w:rsidR="00000000" w:rsidRPr="00E62B6F" w:rsidP="00E62B6F">
            <w:pPr>
              <w:pStyle w:val="ListBullet"/>
            </w:pPr>
            <w:r w:rsidRPr="00E62B6F">
              <w:t>split units (separate motor and pump) single and double</w:t>
            </w:r>
          </w:p>
          <w:p w:rsidR="00000000" w:rsidRPr="00E62B6F" w:rsidP="00E62B6F">
            <w:pPr>
              <w:pStyle w:val="ListBullet"/>
            </w:pPr>
            <w:r w:rsidRPr="00E62B6F">
              <w:t>multiple pump/motor layouts</w:t>
            </w:r>
          </w:p>
          <w:p w:rsidR="00000000" w:rsidRPr="00E62B6F" w:rsidP="00E62B6F">
            <w:pPr>
              <w:pStyle w:val="ListBullet"/>
            </w:pPr>
            <w:r w:rsidRPr="00E62B6F">
              <w:t>series and parallel operation</w:t>
            </w:r>
          </w:p>
          <w:p w:rsidR="00000000" w:rsidP="00E62B6F">
            <w:pPr>
              <w:pStyle w:val="ListBullet"/>
              <w:rPr>
                <w:lang w:val="en-NZ"/>
              </w:rPr>
            </w:pPr>
            <w:r w:rsidRPr="00E62B6F">
              <w:t>fixed and variable displacement pumps</w:t>
            </w:r>
          </w:p>
        </w:tc>
      </w:tr>
      <w:tr w:rsidTr="00E62B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rPr>
                <w:rStyle w:val="SpecialBold"/>
              </w:rPr>
              <w:t>Control valves include one (1)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ListBullet"/>
            </w:pPr>
            <w:r w:rsidRPr="00E62B6F">
              <w:t xml:space="preserve">hot oil shuttle valves </w:t>
            </w:r>
          </w:p>
          <w:p w:rsidR="00000000" w:rsidRPr="00E62B6F" w:rsidP="00E62B6F">
            <w:pPr>
              <w:pStyle w:val="ListBullet"/>
            </w:pPr>
            <w:r w:rsidRPr="00E62B6F">
              <w:t>cross-line relief val</w:t>
            </w:r>
            <w:r w:rsidRPr="00E62B6F">
              <w:t xml:space="preserve">ves </w:t>
            </w:r>
          </w:p>
          <w:p w:rsidR="00000000" w:rsidRPr="00E62B6F" w:rsidP="00E62B6F">
            <w:pPr>
              <w:pStyle w:val="ListBullet"/>
            </w:pPr>
            <w:r w:rsidRPr="00E62B6F">
              <w:t xml:space="preserve">counterbalance valves </w:t>
            </w:r>
          </w:p>
          <w:p w:rsidR="00000000" w:rsidRPr="00E62B6F" w:rsidP="00E62B6F">
            <w:pPr>
              <w:pStyle w:val="ListBullet"/>
            </w:pPr>
            <w:r w:rsidRPr="00E62B6F">
              <w:t>bypass valves</w:t>
            </w:r>
          </w:p>
          <w:p w:rsidR="00000000" w:rsidRPr="00E62B6F" w:rsidP="00E62B6F">
            <w:pPr>
              <w:pStyle w:val="ListBullet"/>
            </w:pPr>
            <w:r w:rsidRPr="00E62B6F">
              <w:t>differential lock valves</w:t>
            </w:r>
          </w:p>
          <w:p w:rsidR="00000000" w:rsidP="00E62B6F">
            <w:pPr>
              <w:pStyle w:val="ListBullet"/>
              <w:rPr>
                <w:lang w:val="en-NZ"/>
              </w:rPr>
            </w:pPr>
            <w:r w:rsidRPr="00E62B6F">
              <w:t>parking brake valves</w:t>
            </w:r>
          </w:p>
        </w:tc>
      </w:tr>
      <w:tr w:rsidTr="00E62B6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B6F">
            <w:pPr>
              <w:pStyle w:val="BodyText"/>
              <w:rPr>
                <w:lang w:val="en-NZ"/>
              </w:rPr>
            </w:pPr>
            <w:r w:rsidRPr="00E62B6F">
              <w:rPr>
                <w:rStyle w:val="SpecialBold"/>
              </w:rPr>
              <w:t>Hydrostatic special control features include one (1) or more of the following: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B6F" w:rsidP="00E62B6F">
            <w:pPr>
              <w:pStyle w:val="ListBullet"/>
            </w:pPr>
            <w:r w:rsidRPr="00E62B6F">
              <w:t>inch control</w:t>
            </w:r>
          </w:p>
          <w:p w:rsidR="00000000" w:rsidRPr="00E62B6F" w:rsidP="00E62B6F">
            <w:pPr>
              <w:pStyle w:val="ListBullet"/>
            </w:pPr>
            <w:r w:rsidRPr="00E62B6F">
              <w:t>creep speed</w:t>
            </w:r>
          </w:p>
          <w:p w:rsidR="00000000" w:rsidRPr="00E62B6F" w:rsidP="00E62B6F">
            <w:pPr>
              <w:pStyle w:val="ListBullet"/>
            </w:pPr>
            <w:r w:rsidRPr="00E62B6F">
              <w:t>brake defeat function</w:t>
            </w:r>
          </w:p>
          <w:p w:rsidR="00000000" w:rsidRPr="00E62B6F" w:rsidP="00E62B6F">
            <w:pPr>
              <w:pStyle w:val="ListBullet"/>
            </w:pPr>
            <w:r w:rsidRPr="00E62B6F">
              <w:t>hydrostatic braking</w:t>
            </w:r>
          </w:p>
        </w:tc>
      </w:tr>
    </w:tbl>
    <w:p w:rsidR="00000000" w:rsidRPr="00E62B6F" w:rsidP="00E62B6F">
      <w:pPr>
        <w:pStyle w:val="BodyText"/>
      </w:pPr>
    </w:p>
    <w:p w:rsidR="00000000" w:rsidRPr="00E62B6F" w:rsidP="00E62B6F">
      <w:pPr>
        <w:pStyle w:val="AllowPageBreak"/>
      </w:pPr>
    </w:p>
    <w:p w:rsidR="00000000" w:rsidRPr="00E62B6F" w:rsidP="00E62B6F">
      <w:pPr>
        <w:pStyle w:val="Heading1"/>
      </w:pPr>
      <w:bookmarkStart w:id="8" w:name="O_960237"/>
      <w:bookmarkEnd w:id="8"/>
      <w:r w:rsidRPr="00E62B6F">
        <w:t>Unit Mapping Information</w:t>
      </w:r>
    </w:p>
    <w:p w:rsidR="00000000" w:rsidRPr="00E62B6F" w:rsidP="00146DB3">
      <w:pPr>
        <w:pStyle w:val="BodyText"/>
      </w:pPr>
      <w:r w:rsidRPr="00E62B6F">
        <w:t>No equivalent unit.</w:t>
      </w:r>
    </w:p>
    <w:p w:rsidR="00000000" w:rsidRPr="00E62B6F" w:rsidP="00E62B6F">
      <w:pPr>
        <w:pStyle w:val="Heading1"/>
      </w:pPr>
      <w:bookmarkStart w:id="9" w:name="O_960230"/>
      <w:bookmarkEnd w:id="9"/>
      <w:r w:rsidRPr="00E62B6F">
        <w:t>Links</w:t>
      </w:r>
    </w:p>
    <w:p w:rsidR="00000000" w:rsidRPr="00E62B6F" w:rsidP="00146DB3">
      <w:pPr>
        <w:pStyle w:val="BodyText"/>
      </w:pPr>
      <w:r w:rsidRPr="00E62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B707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62B6F" w:rsidP="00E62B6F"/>
    <w:sectPr w:rsidSect="00E62B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F" w:rsidRPr="00146DB3" w:rsidP="00146D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3" w:rsidP="00E62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6DB3" w:rsidP="00E62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46DB3" w:rsidP="00E62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B6F" w:rsidRPr="00146DB3" w:rsidP="00146D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6DB3" w:rsidRPr="002D2AF8" w:rsidP="00E62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MEM27024 Diagnose and rectify mobile plant hydrostatic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46DB3" w:rsidP="00E62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DAE9C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3607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B6F"/>
  </w:style>
  <w:style w:type="character" w:customStyle="1" w:styleId="Heading1Char">
    <w:name w:val="Heading 1 Char"/>
    <w:basedOn w:val="DefaultParagraphFont"/>
    <w:link w:val="Heading1"/>
    <w:rsid w:val="00E62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62B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62B6F"/>
    <w:rPr>
      <w:b/>
      <w:spacing w:val="0"/>
    </w:rPr>
  </w:style>
  <w:style w:type="paragraph" w:customStyle="1" w:styleId="SuperHeading">
    <w:name w:val="SuperHeading"/>
    <w:basedOn w:val="Normal"/>
    <w:rsid w:val="00E62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62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62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B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B6F"/>
    <w:rPr>
      <w:i/>
    </w:rPr>
  </w:style>
  <w:style w:type="paragraph" w:styleId="Caption">
    <w:name w:val="caption"/>
    <w:basedOn w:val="BodyText"/>
    <w:next w:val="Normal"/>
    <w:qFormat/>
    <w:rsid w:val="00E62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B6F"/>
  </w:style>
  <w:style w:type="paragraph" w:styleId="TableofFigures">
    <w:name w:val="table of figures"/>
    <w:basedOn w:val="Normal"/>
    <w:next w:val="Normal"/>
    <w:semiHidden/>
    <w:rsid w:val="00E62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B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62B6F"/>
    <w:rPr>
      <w:rFonts w:ascii="Wingdings" w:hAnsi="Wingdings"/>
    </w:rPr>
  </w:style>
  <w:style w:type="paragraph" w:customStyle="1" w:styleId="TableHeading">
    <w:name w:val="Table Heading"/>
    <w:basedOn w:val="HeadingBase"/>
    <w:rsid w:val="00E62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B6F"/>
    <w:rPr>
      <w:color w:val="0033CC"/>
      <w:u w:val="none"/>
    </w:rPr>
  </w:style>
  <w:style w:type="paragraph" w:customStyle="1" w:styleId="BodyTextRight">
    <w:name w:val="Body Text Right"/>
    <w:basedOn w:val="BodyText"/>
    <w:rsid w:val="00E62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B6F"/>
    <w:rPr>
      <w:sz w:val="32"/>
    </w:rPr>
  </w:style>
  <w:style w:type="paragraph" w:customStyle="1" w:styleId="HeadingProcedure">
    <w:name w:val="Heading Procedure"/>
    <w:basedOn w:val="HeadingBase"/>
    <w:next w:val="Normal"/>
    <w:rsid w:val="00E62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B6F"/>
    <w:pPr>
      <w:spacing w:before="60" w:after="60"/>
    </w:pPr>
  </w:style>
  <w:style w:type="paragraph" w:styleId="ListContinue">
    <w:name w:val="List Continue"/>
    <w:basedOn w:val="List"/>
    <w:rsid w:val="00E62B6F"/>
    <w:pPr>
      <w:ind w:firstLine="0"/>
    </w:pPr>
  </w:style>
  <w:style w:type="paragraph" w:customStyle="1" w:styleId="ListNote">
    <w:name w:val="List Note"/>
    <w:basedOn w:val="List"/>
    <w:rsid w:val="00E62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B6F"/>
    <w:rPr>
      <w:rFonts w:ascii="Courier New" w:hAnsi="Courier New"/>
    </w:rPr>
  </w:style>
  <w:style w:type="paragraph" w:customStyle="1" w:styleId="NoteBullet">
    <w:name w:val="Note Bullet"/>
    <w:basedOn w:val="Note"/>
    <w:rsid w:val="00E62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62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B6F"/>
    <w:rPr>
      <w:b/>
      <w:smallCaps/>
    </w:rPr>
  </w:style>
  <w:style w:type="paragraph" w:customStyle="1" w:styleId="TableListNumber">
    <w:name w:val="Table List Number"/>
    <w:basedOn w:val="ListNumber"/>
    <w:rsid w:val="00E62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B6F"/>
    <w:pPr>
      <w:numPr>
        <w:numId w:val="8"/>
      </w:numPr>
    </w:pPr>
  </w:style>
  <w:style w:type="paragraph" w:customStyle="1" w:styleId="ListAlpha2">
    <w:name w:val="List Alpha 2"/>
    <w:basedOn w:val="List2"/>
    <w:rsid w:val="00E62B6F"/>
    <w:pPr>
      <w:numPr>
        <w:numId w:val="7"/>
      </w:numPr>
    </w:pPr>
  </w:style>
  <w:style w:type="paragraph" w:styleId="List2">
    <w:name w:val="List 2"/>
    <w:basedOn w:val="BodyText"/>
    <w:rsid w:val="00E62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62B6F"/>
    <w:pPr>
      <w:numPr>
        <w:numId w:val="3"/>
      </w:numPr>
    </w:pPr>
  </w:style>
  <w:style w:type="paragraph" w:styleId="ListContinue2">
    <w:name w:val="List Continue 2"/>
    <w:basedOn w:val="List2"/>
    <w:rsid w:val="00E62B6F"/>
    <w:pPr>
      <w:ind w:firstLine="0"/>
    </w:pPr>
  </w:style>
  <w:style w:type="paragraph" w:styleId="ListContinue3">
    <w:name w:val="List Continue 3"/>
    <w:basedOn w:val="List3"/>
    <w:rsid w:val="00E62B6F"/>
    <w:pPr>
      <w:ind w:left="1021" w:firstLine="0"/>
    </w:pPr>
  </w:style>
  <w:style w:type="paragraph" w:styleId="ListContinue4">
    <w:name w:val="List Continue 4"/>
    <w:basedOn w:val="List4"/>
    <w:rsid w:val="00E62B6F"/>
    <w:pPr>
      <w:ind w:firstLine="0"/>
    </w:pPr>
  </w:style>
  <w:style w:type="paragraph" w:styleId="ListContinue5">
    <w:name w:val="List Continue 5"/>
    <w:basedOn w:val="List5"/>
    <w:rsid w:val="00E62B6F"/>
    <w:pPr>
      <w:ind w:firstLine="0"/>
    </w:pPr>
  </w:style>
  <w:style w:type="paragraph" w:styleId="ListNumber3">
    <w:name w:val="List Number 3"/>
    <w:basedOn w:val="List3"/>
    <w:rsid w:val="00E62B6F"/>
    <w:pPr>
      <w:numPr>
        <w:numId w:val="4"/>
      </w:numPr>
    </w:pPr>
  </w:style>
  <w:style w:type="paragraph" w:styleId="ListNumber4">
    <w:name w:val="List Number 4"/>
    <w:basedOn w:val="List4"/>
    <w:rsid w:val="00E62B6F"/>
    <w:pPr>
      <w:numPr>
        <w:numId w:val="5"/>
      </w:numPr>
    </w:pPr>
  </w:style>
  <w:style w:type="paragraph" w:styleId="ListNumber5">
    <w:name w:val="List Number 5"/>
    <w:basedOn w:val="List5"/>
    <w:rsid w:val="00E62B6F"/>
    <w:pPr>
      <w:numPr>
        <w:numId w:val="6"/>
      </w:numPr>
    </w:pPr>
  </w:style>
  <w:style w:type="paragraph" w:styleId="BlockText">
    <w:name w:val="Block Text"/>
    <w:basedOn w:val="Normal"/>
    <w:rsid w:val="00E62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B6F"/>
    <w:rPr>
      <w:sz w:val="16"/>
      <w:vertAlign w:val="superscript"/>
    </w:rPr>
  </w:style>
  <w:style w:type="character" w:customStyle="1" w:styleId="Symbols">
    <w:name w:val="Symbols"/>
    <w:basedOn w:val="DefaultParagraphFont"/>
    <w:rsid w:val="00E62B6F"/>
    <w:rPr>
      <w:rFonts w:ascii="Symbol" w:hAnsi="Symbol"/>
    </w:rPr>
  </w:style>
  <w:style w:type="character" w:customStyle="1" w:styleId="MenuOptions">
    <w:name w:val="Menu Options"/>
    <w:basedOn w:val="DefaultParagraphFont"/>
    <w:rsid w:val="00E62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B6F"/>
    <w:rPr>
      <w:b/>
    </w:rPr>
  </w:style>
  <w:style w:type="character" w:customStyle="1" w:styleId="Underlined">
    <w:name w:val="Underlined"/>
    <w:basedOn w:val="DefaultParagraphFont"/>
    <w:rsid w:val="00E62B6F"/>
    <w:rPr>
      <w:u w:val="single"/>
    </w:rPr>
  </w:style>
  <w:style w:type="paragraph" w:customStyle="1" w:styleId="TableBodyTextRight">
    <w:name w:val="Table Body Text Right"/>
    <w:basedOn w:val="TableBodyText"/>
    <w:rsid w:val="00E62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B6F"/>
    <w:rPr>
      <w:sz w:val="18"/>
    </w:rPr>
  </w:style>
  <w:style w:type="paragraph" w:customStyle="1" w:styleId="BodySmallRight">
    <w:name w:val="Body Small Right"/>
    <w:basedOn w:val="BodyTextRight"/>
    <w:rsid w:val="00E62B6F"/>
    <w:rPr>
      <w:sz w:val="18"/>
      <w:szCs w:val="18"/>
    </w:rPr>
  </w:style>
  <w:style w:type="paragraph" w:customStyle="1" w:styleId="MarginEdition">
    <w:name w:val="Margin Edition"/>
    <w:basedOn w:val="MarginNote"/>
    <w:rsid w:val="00E62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B6F"/>
    <w:rPr>
      <w:sz w:val="2"/>
      <w:szCs w:val="2"/>
    </w:rPr>
  </w:style>
  <w:style w:type="character" w:customStyle="1" w:styleId="Small">
    <w:name w:val="Small"/>
    <w:basedOn w:val="DefaultParagraphFont"/>
    <w:rsid w:val="00E62B6F"/>
    <w:rPr>
      <w:sz w:val="16"/>
    </w:rPr>
  </w:style>
  <w:style w:type="paragraph" w:customStyle="1" w:styleId="WideTable">
    <w:name w:val="Wide Table"/>
    <w:basedOn w:val="Normal"/>
    <w:rsid w:val="00E62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B6F"/>
  </w:style>
  <w:style w:type="paragraph" w:styleId="Quote">
    <w:name w:val="Quote"/>
    <w:basedOn w:val="Heading1"/>
    <w:link w:val="QuoteChar"/>
    <w:qFormat/>
    <w:rsid w:val="00E62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B6F"/>
    <w:pPr>
      <w:pageBreakBefore/>
    </w:pPr>
  </w:style>
  <w:style w:type="paragraph" w:customStyle="1" w:styleId="Border">
    <w:name w:val="Border"/>
    <w:basedOn w:val="Normal"/>
    <w:qFormat/>
    <w:rsid w:val="00E62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B6F"/>
    <w:rPr>
      <w:u w:val="single"/>
    </w:rPr>
  </w:style>
  <w:style w:type="character" w:customStyle="1" w:styleId="BoldandItalics">
    <w:name w:val="Bold and Italics"/>
    <w:qFormat/>
    <w:rsid w:val="00E62B6F"/>
    <w:rPr>
      <w:b/>
      <w:i/>
      <w:u w:val="none"/>
    </w:rPr>
  </w:style>
  <w:style w:type="paragraph" w:styleId="BalloonText">
    <w:name w:val="Balloon Text"/>
    <w:basedOn w:val="Normal"/>
    <w:link w:val="BalloonTextChar"/>
    <w:rsid w:val="00E62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B6F"/>
    <w:pPr>
      <w:spacing w:before="0" w:after="0"/>
    </w:pPr>
  </w:style>
  <w:style w:type="paragraph" w:customStyle="1" w:styleId="BodyTextBold">
    <w:name w:val="Body Text Bold"/>
    <w:basedOn w:val="BodyText"/>
    <w:qFormat/>
    <w:rsid w:val="00E62B6F"/>
    <w:rPr>
      <w:b/>
    </w:rPr>
  </w:style>
  <w:style w:type="character" w:styleId="Hyperlink">
    <w:name w:val="Hyperlink"/>
    <w:basedOn w:val="DefaultParagraphFont"/>
    <w:uiPriority w:val="99"/>
    <w:unhideWhenUsed/>
    <w:rsid w:val="00146D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3987</Characters>
  <Application>Microsoft Office Word</Application>
  <DocSecurity>0</DocSecurity>
  <Lines>209</Lines>
  <Paragraphs>124</Paragraphs>
  <ScaleCrop>false</ScaleCrop>
  <Company>Author-it Software Corporation Ltd.</Company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MEM27024 Diagnose and rectify mobile plant hydrostatic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