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7673" w:rsidP="00A27673">
      <w:pPr>
        <w:pStyle w:val="Title"/>
      </w:pPr>
      <w:r>
        <w:fldChar w:fldCharType="begin"/>
      </w:r>
      <w:r>
        <w:instrText xml:space="preserve"> TITLE   \* MERGEFORMAT </w:instrText>
      </w:r>
      <w:r>
        <w:fldChar w:fldCharType="separate"/>
      </w:r>
      <w:r>
        <w:t>MEM27024 Diagnose and rectify mobile plant hydrostatic systems</w:t>
      </w:r>
      <w:r>
        <w:fldChar w:fldCharType="end"/>
      </w:r>
    </w:p>
    <w:p w:rsidR="00A27673" w:rsidP="00A27673">
      <w:pPr>
        <w:pStyle w:val="Version"/>
        <w:sectPr w:rsidSect="00EF31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313F" w:rsidP="00EF313F">
      <w:pPr>
        <w:pStyle w:val="SuperHeading"/>
      </w:pPr>
      <w:r w:rsidRPr="00EF313F">
        <w:t>MEM27024 Diagnose and rectify mobile plant hydrostatic systems</w:t>
      </w:r>
    </w:p>
    <w:p w:rsidR="00000000" w:rsidRPr="00EF313F" w:rsidP="00EF313F">
      <w:pPr>
        <w:pStyle w:val="Heading1"/>
      </w:pPr>
      <w:bookmarkStart w:id="1" w:name="O_960236"/>
      <w:bookmarkEnd w:id="1"/>
      <w:r w:rsidRPr="00EF313F">
        <w:t>Modification History</w:t>
      </w:r>
    </w:p>
    <w:p w:rsidR="00000000" w:rsidRPr="00EF313F" w:rsidP="00A27673">
      <w:pPr>
        <w:pStyle w:val="BodyText"/>
      </w:pPr>
      <w:r w:rsidRPr="00EF313F">
        <w:t>Release 1: New unit</w:t>
      </w:r>
    </w:p>
    <w:p w:rsidR="00000000" w:rsidRPr="00EF313F" w:rsidP="00EF313F">
      <w:pPr>
        <w:pStyle w:val="Heading1"/>
      </w:pPr>
      <w:bookmarkStart w:id="2" w:name="O_960244"/>
      <w:bookmarkEnd w:id="2"/>
      <w:r w:rsidRPr="00EF313F">
        <w:t>Application</w:t>
      </w:r>
    </w:p>
    <w:p w:rsidR="00000000" w:rsidRPr="00EF313F" w:rsidP="00A27673">
      <w:pPr>
        <w:pStyle w:val="BodyText"/>
      </w:pPr>
      <w:r w:rsidRPr="00EF313F">
        <w:t>This unit of competency defines the skills and knowledge required to assess converter/transmission op</w:t>
      </w:r>
      <w:r w:rsidRPr="00EF313F">
        <w:t>eration, and repair or replace faulty components.</w:t>
      </w:r>
    </w:p>
    <w:p w:rsidR="00000000" w:rsidRPr="00EF313F" w:rsidP="00A27673">
      <w:pPr>
        <w:pStyle w:val="BodyText"/>
      </w:pPr>
      <w:r w:rsidRPr="00EF313F">
        <w:t>It applies to hydrostatic systems used in mobile plant applications, including steering, transmissions and other closed circuit systems. It provides additional specialist skills and knowledge in hydrostatic</w:t>
      </w:r>
      <w:r w:rsidRPr="00EF313F">
        <w:t>s and is designed to complement the MEM units relevant to the particular equipment systems.</w:t>
      </w:r>
    </w:p>
    <w:p w:rsidR="00000000" w:rsidRPr="00EF313F" w:rsidP="00A27673">
      <w:pPr>
        <w:pStyle w:val="BodyText"/>
      </w:pPr>
      <w:r w:rsidRPr="00EF313F">
        <w:t>No licensing, legislative or certification requirements apply to this unit at the time of publication.</w:t>
      </w:r>
    </w:p>
    <w:p w:rsidR="00000000" w:rsidRPr="00EF313F" w:rsidP="00EF313F">
      <w:pPr>
        <w:pStyle w:val="BodyText"/>
      </w:pPr>
      <w:r w:rsidRPr="00EF313F">
        <w:rPr>
          <w:rStyle w:val="SpecialBold"/>
        </w:rPr>
        <w:t>Band</w:t>
      </w:r>
      <w:r w:rsidRPr="00EF313F">
        <w:t>:</w:t>
      </w:r>
      <w:r w:rsidRPr="00EF313F">
        <w:tab/>
      </w:r>
      <w:r w:rsidRPr="00EF313F">
        <w:rPr>
          <w:rStyle w:val="SpecialBold"/>
        </w:rPr>
        <w:t>B</w:t>
      </w:r>
    </w:p>
    <w:p w:rsidR="00000000" w:rsidRPr="00EF313F" w:rsidP="00EF313F">
      <w:pPr>
        <w:pStyle w:val="BodyText"/>
      </w:pPr>
      <w:r w:rsidRPr="00EF313F">
        <w:rPr>
          <w:rStyle w:val="SpecialBold"/>
        </w:rPr>
        <w:t>Unit Weight</w:t>
      </w:r>
      <w:r w:rsidRPr="00EF313F">
        <w:t>:</w:t>
      </w:r>
      <w:r w:rsidRPr="00EF313F">
        <w:tab/>
      </w:r>
      <w:r w:rsidRPr="00EF313F">
        <w:rPr>
          <w:rStyle w:val="SpecialBold"/>
        </w:rPr>
        <w:t>4</w:t>
      </w:r>
    </w:p>
    <w:p w:rsidR="00000000" w:rsidRPr="00EF313F" w:rsidP="00EF313F">
      <w:pPr>
        <w:pStyle w:val="AllowPageBreak"/>
      </w:pPr>
    </w:p>
    <w:p w:rsidR="00000000" w:rsidRPr="00EF313F" w:rsidP="00EF313F">
      <w:pPr>
        <w:pStyle w:val="Heading1"/>
      </w:pPr>
      <w:bookmarkStart w:id="3" w:name="O_960243"/>
      <w:bookmarkEnd w:id="3"/>
      <w:r w:rsidRPr="00EF313F">
        <w:t>Pre-requisite Unit</w:t>
      </w:r>
    </w:p>
    <w:tbl>
      <w:tblPr>
        <w:tblW w:w="0" w:type="auto"/>
        <w:tblLayout w:type="fixed"/>
        <w:tblCellMar>
          <w:left w:w="62" w:type="dxa"/>
          <w:right w:w="62" w:type="dxa"/>
        </w:tblCellMar>
        <w:tblLook w:val="0000"/>
      </w:tblPr>
      <w:tblGrid>
        <w:gridCol w:w="1751"/>
        <w:gridCol w:w="7391"/>
      </w:tblGrid>
      <w:tr w:rsidTr="00EF313F">
        <w:tblPrEx>
          <w:tblW w:w="0" w:type="auto"/>
          <w:tblLayout w:type="fixed"/>
          <w:tblCellMar>
            <w:left w:w="62" w:type="dxa"/>
            <w:right w:w="62" w:type="dxa"/>
          </w:tblCellMar>
          <w:tblLook w:val="0000"/>
        </w:tblPrEx>
        <w:tc>
          <w:tcPr>
            <w:tcW w:w="1751" w:type="dxa"/>
            <w:tcBorders>
              <w:top w:val="nil"/>
              <w:left w:val="nil"/>
              <w:bottom w:val="nil"/>
              <w:right w:val="nil"/>
            </w:tcBorders>
            <w:tcMar>
              <w:top w:w="0" w:type="dxa"/>
              <w:left w:w="62" w:type="dxa"/>
              <w:bottom w:w="0" w:type="dxa"/>
              <w:right w:w="62" w:type="dxa"/>
            </w:tcMar>
          </w:tcPr>
          <w:p w:rsidR="00000000" w:rsidP="00EF313F">
            <w:pPr>
              <w:pStyle w:val="BodyText"/>
              <w:rPr>
                <w:lang w:val="en-NZ"/>
              </w:rPr>
            </w:pPr>
            <w:r w:rsidRPr="00EF313F">
              <w:t>ME</w:t>
            </w:r>
            <w:r w:rsidRPr="00EF313F">
              <w:t>M09002</w:t>
            </w:r>
          </w:p>
        </w:tc>
        <w:tc>
          <w:tcPr>
            <w:tcW w:w="7391" w:type="dxa"/>
            <w:tcBorders>
              <w:top w:val="nil"/>
              <w:left w:val="nil"/>
              <w:bottom w:val="nil"/>
              <w:right w:val="nil"/>
            </w:tcBorders>
            <w:tcMar>
              <w:top w:w="0" w:type="dxa"/>
              <w:left w:w="62" w:type="dxa"/>
              <w:bottom w:w="0" w:type="dxa"/>
              <w:right w:w="62" w:type="dxa"/>
            </w:tcMar>
          </w:tcPr>
          <w:p w:rsidR="00000000" w:rsidP="00EF313F">
            <w:pPr>
              <w:pStyle w:val="BodyText"/>
              <w:rPr>
                <w:lang w:val="en-NZ"/>
              </w:rPr>
            </w:pPr>
            <w:r w:rsidRPr="00EF313F">
              <w:t>Interpret technical drawing</w:t>
            </w:r>
          </w:p>
        </w:tc>
      </w:tr>
      <w:tr w:rsidTr="00EF313F">
        <w:tblPrEx>
          <w:tblW w:w="0" w:type="auto"/>
          <w:tblLayout w:type="fixed"/>
          <w:tblCellMar>
            <w:left w:w="62" w:type="dxa"/>
            <w:right w:w="62" w:type="dxa"/>
          </w:tblCellMar>
          <w:tblLook w:val="0000"/>
        </w:tblPrEx>
        <w:tc>
          <w:tcPr>
            <w:tcW w:w="1751" w:type="dxa"/>
            <w:tcBorders>
              <w:top w:val="nil"/>
              <w:left w:val="nil"/>
              <w:bottom w:val="nil"/>
              <w:right w:val="nil"/>
            </w:tcBorders>
            <w:tcMar>
              <w:top w:w="0" w:type="dxa"/>
              <w:left w:w="62" w:type="dxa"/>
              <w:bottom w:w="0" w:type="dxa"/>
              <w:right w:w="62" w:type="dxa"/>
            </w:tcMar>
          </w:tcPr>
          <w:p w:rsidR="00000000" w:rsidP="00EF313F">
            <w:pPr>
              <w:pStyle w:val="BodyText"/>
              <w:rPr>
                <w:lang w:val="en-NZ"/>
              </w:rPr>
            </w:pPr>
            <w:r w:rsidRPr="00EF313F">
              <w:t>MEM11011</w:t>
            </w:r>
          </w:p>
        </w:tc>
        <w:tc>
          <w:tcPr>
            <w:tcW w:w="7391" w:type="dxa"/>
            <w:tcBorders>
              <w:top w:val="nil"/>
              <w:left w:val="nil"/>
              <w:bottom w:val="nil"/>
              <w:right w:val="nil"/>
            </w:tcBorders>
            <w:tcMar>
              <w:top w:w="0" w:type="dxa"/>
              <w:left w:w="62" w:type="dxa"/>
              <w:bottom w:w="0" w:type="dxa"/>
              <w:right w:w="62" w:type="dxa"/>
            </w:tcMar>
          </w:tcPr>
          <w:p w:rsidR="00000000" w:rsidP="00EF313F">
            <w:pPr>
              <w:pStyle w:val="BodyText"/>
              <w:rPr>
                <w:lang w:val="en-NZ"/>
              </w:rPr>
            </w:pPr>
            <w:r w:rsidRPr="00EF313F">
              <w:t>Undertake manual handling</w:t>
            </w:r>
          </w:p>
        </w:tc>
      </w:tr>
      <w:tr w:rsidTr="00EF313F">
        <w:tblPrEx>
          <w:tblW w:w="0" w:type="auto"/>
          <w:tblLayout w:type="fixed"/>
          <w:tblCellMar>
            <w:left w:w="62" w:type="dxa"/>
            <w:right w:w="62" w:type="dxa"/>
          </w:tblCellMar>
          <w:tblLook w:val="0000"/>
        </w:tblPrEx>
        <w:tc>
          <w:tcPr>
            <w:tcW w:w="1751" w:type="dxa"/>
            <w:tcBorders>
              <w:top w:val="nil"/>
              <w:left w:val="nil"/>
              <w:bottom w:val="nil"/>
              <w:right w:val="nil"/>
            </w:tcBorders>
            <w:tcMar>
              <w:top w:w="0" w:type="dxa"/>
              <w:left w:w="62" w:type="dxa"/>
              <w:bottom w:w="0" w:type="dxa"/>
              <w:right w:w="62" w:type="dxa"/>
            </w:tcMar>
          </w:tcPr>
          <w:p w:rsidR="00000000" w:rsidP="00EF313F">
            <w:pPr>
              <w:pStyle w:val="BodyText"/>
              <w:rPr>
                <w:lang w:val="en-NZ"/>
              </w:rPr>
            </w:pPr>
            <w:r w:rsidRPr="00EF313F">
              <w:t>MEM12023</w:t>
            </w:r>
          </w:p>
        </w:tc>
        <w:tc>
          <w:tcPr>
            <w:tcW w:w="7391" w:type="dxa"/>
            <w:tcBorders>
              <w:top w:val="nil"/>
              <w:left w:val="nil"/>
              <w:bottom w:val="nil"/>
              <w:right w:val="nil"/>
            </w:tcBorders>
            <w:tcMar>
              <w:top w:w="0" w:type="dxa"/>
              <w:left w:w="62" w:type="dxa"/>
              <w:bottom w:w="0" w:type="dxa"/>
              <w:right w:w="62" w:type="dxa"/>
            </w:tcMar>
          </w:tcPr>
          <w:p w:rsidR="00000000" w:rsidP="00EF313F">
            <w:pPr>
              <w:pStyle w:val="BodyText"/>
              <w:rPr>
                <w:lang w:val="en-NZ"/>
              </w:rPr>
            </w:pPr>
            <w:r w:rsidRPr="00EF313F">
              <w:t>Perform engineering measurements</w:t>
            </w:r>
          </w:p>
        </w:tc>
      </w:tr>
      <w:tr w:rsidTr="00EF313F">
        <w:tblPrEx>
          <w:tblW w:w="0" w:type="auto"/>
          <w:tblLayout w:type="fixed"/>
          <w:tblCellMar>
            <w:left w:w="62" w:type="dxa"/>
            <w:right w:w="62" w:type="dxa"/>
          </w:tblCellMar>
          <w:tblLook w:val="0000"/>
        </w:tblPrEx>
        <w:tc>
          <w:tcPr>
            <w:tcW w:w="1751" w:type="dxa"/>
            <w:tcBorders>
              <w:top w:val="nil"/>
              <w:left w:val="nil"/>
              <w:bottom w:val="nil"/>
              <w:right w:val="nil"/>
            </w:tcBorders>
            <w:tcMar>
              <w:top w:w="0" w:type="dxa"/>
              <w:left w:w="62" w:type="dxa"/>
              <w:bottom w:w="0" w:type="dxa"/>
              <w:right w:w="62" w:type="dxa"/>
            </w:tcMar>
          </w:tcPr>
          <w:p w:rsidR="00000000" w:rsidP="00EF313F">
            <w:pPr>
              <w:pStyle w:val="BodyText"/>
              <w:rPr>
                <w:lang w:val="en-NZ"/>
              </w:rPr>
            </w:pPr>
            <w:r w:rsidRPr="00EF313F">
              <w:t>MEM13015</w:t>
            </w:r>
          </w:p>
        </w:tc>
        <w:tc>
          <w:tcPr>
            <w:tcW w:w="7391" w:type="dxa"/>
            <w:tcBorders>
              <w:top w:val="nil"/>
              <w:left w:val="nil"/>
              <w:bottom w:val="nil"/>
              <w:right w:val="nil"/>
            </w:tcBorders>
            <w:tcMar>
              <w:top w:w="0" w:type="dxa"/>
              <w:left w:w="62" w:type="dxa"/>
              <w:bottom w:w="0" w:type="dxa"/>
              <w:right w:w="62" w:type="dxa"/>
            </w:tcMar>
          </w:tcPr>
          <w:p w:rsidR="00000000" w:rsidP="00EF313F">
            <w:pPr>
              <w:pStyle w:val="BodyText"/>
              <w:rPr>
                <w:lang w:val="en-NZ"/>
              </w:rPr>
            </w:pPr>
            <w:r w:rsidRPr="00EF313F">
              <w:t>Work safely and effectively in manufacturing and engineering</w:t>
            </w:r>
          </w:p>
        </w:tc>
      </w:tr>
      <w:tr w:rsidTr="00EF313F">
        <w:tblPrEx>
          <w:tblW w:w="0" w:type="auto"/>
          <w:tblLayout w:type="fixed"/>
          <w:tblCellMar>
            <w:left w:w="62" w:type="dxa"/>
            <w:right w:w="62" w:type="dxa"/>
          </w:tblCellMar>
          <w:tblLook w:val="0000"/>
        </w:tblPrEx>
        <w:tc>
          <w:tcPr>
            <w:tcW w:w="1751" w:type="dxa"/>
            <w:tcBorders>
              <w:top w:val="nil"/>
              <w:left w:val="nil"/>
              <w:bottom w:val="nil"/>
              <w:right w:val="nil"/>
            </w:tcBorders>
            <w:tcMar>
              <w:top w:w="0" w:type="dxa"/>
              <w:left w:w="62" w:type="dxa"/>
              <w:bottom w:w="0" w:type="dxa"/>
              <w:right w:w="62" w:type="dxa"/>
            </w:tcMar>
          </w:tcPr>
          <w:p w:rsidR="00000000" w:rsidP="00EF313F">
            <w:pPr>
              <w:pStyle w:val="BodyText"/>
              <w:rPr>
                <w:lang w:val="en-NZ"/>
              </w:rPr>
            </w:pPr>
            <w:r w:rsidRPr="00EF313F">
              <w:t>MEM16006</w:t>
            </w:r>
          </w:p>
        </w:tc>
        <w:tc>
          <w:tcPr>
            <w:tcW w:w="7391" w:type="dxa"/>
            <w:tcBorders>
              <w:top w:val="nil"/>
              <w:left w:val="nil"/>
              <w:bottom w:val="nil"/>
              <w:right w:val="nil"/>
            </w:tcBorders>
            <w:tcMar>
              <w:top w:w="0" w:type="dxa"/>
              <w:left w:w="62" w:type="dxa"/>
              <w:bottom w:w="0" w:type="dxa"/>
              <w:right w:w="62" w:type="dxa"/>
            </w:tcMar>
          </w:tcPr>
          <w:p w:rsidR="00000000" w:rsidP="00EF313F">
            <w:pPr>
              <w:pStyle w:val="BodyText"/>
              <w:rPr>
                <w:lang w:val="en-NZ"/>
              </w:rPr>
            </w:pPr>
            <w:r w:rsidRPr="00EF313F">
              <w:t>Organise and communicate information</w:t>
            </w:r>
          </w:p>
        </w:tc>
      </w:tr>
      <w:tr w:rsidTr="00EF313F">
        <w:tblPrEx>
          <w:tblW w:w="0" w:type="auto"/>
          <w:tblLayout w:type="fixed"/>
          <w:tblCellMar>
            <w:left w:w="62" w:type="dxa"/>
            <w:right w:w="62" w:type="dxa"/>
          </w:tblCellMar>
          <w:tblLook w:val="0000"/>
        </w:tblPrEx>
        <w:tc>
          <w:tcPr>
            <w:tcW w:w="1751" w:type="dxa"/>
            <w:tcBorders>
              <w:top w:val="nil"/>
              <w:left w:val="nil"/>
              <w:bottom w:val="nil"/>
              <w:right w:val="nil"/>
            </w:tcBorders>
            <w:tcMar>
              <w:top w:w="0" w:type="dxa"/>
              <w:left w:w="62" w:type="dxa"/>
              <w:bottom w:w="0" w:type="dxa"/>
              <w:right w:w="62" w:type="dxa"/>
            </w:tcMar>
          </w:tcPr>
          <w:p w:rsidR="00000000" w:rsidP="00EF313F">
            <w:pPr>
              <w:pStyle w:val="BodyText"/>
              <w:rPr>
                <w:lang w:val="en-NZ"/>
              </w:rPr>
            </w:pPr>
            <w:r w:rsidRPr="00EF313F">
              <w:t>MEM18001</w:t>
            </w:r>
          </w:p>
        </w:tc>
        <w:tc>
          <w:tcPr>
            <w:tcW w:w="7391" w:type="dxa"/>
            <w:tcBorders>
              <w:top w:val="nil"/>
              <w:left w:val="nil"/>
              <w:bottom w:val="nil"/>
              <w:right w:val="nil"/>
            </w:tcBorders>
            <w:tcMar>
              <w:top w:w="0" w:type="dxa"/>
              <w:left w:w="62" w:type="dxa"/>
              <w:bottom w:w="0" w:type="dxa"/>
              <w:right w:w="62" w:type="dxa"/>
            </w:tcMar>
          </w:tcPr>
          <w:p w:rsidR="00000000" w:rsidP="00EF313F">
            <w:pPr>
              <w:pStyle w:val="BodyText"/>
              <w:rPr>
                <w:lang w:val="en-NZ"/>
              </w:rPr>
            </w:pPr>
            <w:r w:rsidRPr="00EF313F">
              <w:t>Use hand tools</w:t>
            </w:r>
          </w:p>
        </w:tc>
      </w:tr>
      <w:tr w:rsidTr="00EF313F">
        <w:tblPrEx>
          <w:tblW w:w="0" w:type="auto"/>
          <w:tblLayout w:type="fixed"/>
          <w:tblCellMar>
            <w:left w:w="62" w:type="dxa"/>
            <w:right w:w="62" w:type="dxa"/>
          </w:tblCellMar>
          <w:tblLook w:val="0000"/>
        </w:tblPrEx>
        <w:tc>
          <w:tcPr>
            <w:tcW w:w="1751" w:type="dxa"/>
            <w:tcBorders>
              <w:top w:val="nil"/>
              <w:left w:val="nil"/>
              <w:bottom w:val="nil"/>
              <w:right w:val="nil"/>
            </w:tcBorders>
            <w:tcMar>
              <w:top w:w="0" w:type="dxa"/>
              <w:left w:w="62" w:type="dxa"/>
              <w:bottom w:w="0" w:type="dxa"/>
              <w:right w:w="62" w:type="dxa"/>
            </w:tcMar>
          </w:tcPr>
          <w:p w:rsidR="00000000" w:rsidP="00EF313F">
            <w:pPr>
              <w:pStyle w:val="BodyText"/>
              <w:rPr>
                <w:lang w:val="en-NZ"/>
              </w:rPr>
            </w:pPr>
            <w:r w:rsidRPr="00EF313F">
              <w:t>MEM18002</w:t>
            </w:r>
          </w:p>
        </w:tc>
        <w:tc>
          <w:tcPr>
            <w:tcW w:w="7391" w:type="dxa"/>
            <w:tcBorders>
              <w:top w:val="nil"/>
              <w:left w:val="nil"/>
              <w:bottom w:val="nil"/>
              <w:right w:val="nil"/>
            </w:tcBorders>
            <w:tcMar>
              <w:top w:w="0" w:type="dxa"/>
              <w:left w:w="62" w:type="dxa"/>
              <w:bottom w:w="0" w:type="dxa"/>
              <w:right w:w="62" w:type="dxa"/>
            </w:tcMar>
          </w:tcPr>
          <w:p w:rsidR="00000000" w:rsidP="00EF313F">
            <w:pPr>
              <w:pStyle w:val="BodyText"/>
              <w:rPr>
                <w:lang w:val="en-NZ"/>
              </w:rPr>
            </w:pPr>
            <w:r w:rsidRPr="00EF313F">
              <w:t>Use power tools/hand held operations</w:t>
            </w:r>
          </w:p>
        </w:tc>
      </w:tr>
      <w:tr w:rsidTr="00EF313F">
        <w:tblPrEx>
          <w:tblW w:w="0" w:type="auto"/>
          <w:tblLayout w:type="fixed"/>
          <w:tblCellMar>
            <w:left w:w="62" w:type="dxa"/>
            <w:right w:w="62" w:type="dxa"/>
          </w:tblCellMar>
          <w:tblLook w:val="0000"/>
        </w:tblPrEx>
        <w:tc>
          <w:tcPr>
            <w:tcW w:w="1751" w:type="dxa"/>
            <w:tcBorders>
              <w:top w:val="nil"/>
              <w:left w:val="nil"/>
              <w:bottom w:val="nil"/>
              <w:right w:val="nil"/>
            </w:tcBorders>
            <w:tcMar>
              <w:top w:w="0" w:type="dxa"/>
              <w:left w:w="62" w:type="dxa"/>
              <w:bottom w:w="0" w:type="dxa"/>
              <w:right w:w="62" w:type="dxa"/>
            </w:tcMar>
          </w:tcPr>
          <w:p w:rsidR="00000000" w:rsidP="00EF313F">
            <w:pPr>
              <w:pStyle w:val="BodyText"/>
              <w:rPr>
                <w:lang w:val="en-NZ"/>
              </w:rPr>
            </w:pPr>
            <w:r w:rsidRPr="00EF313F">
              <w:t>MEM18055</w:t>
            </w:r>
          </w:p>
        </w:tc>
        <w:tc>
          <w:tcPr>
            <w:tcW w:w="7391" w:type="dxa"/>
            <w:tcBorders>
              <w:top w:val="nil"/>
              <w:left w:val="nil"/>
              <w:bottom w:val="nil"/>
              <w:right w:val="nil"/>
            </w:tcBorders>
            <w:tcMar>
              <w:top w:w="0" w:type="dxa"/>
              <w:left w:w="62" w:type="dxa"/>
              <w:bottom w:w="0" w:type="dxa"/>
              <w:right w:w="62" w:type="dxa"/>
            </w:tcMar>
          </w:tcPr>
          <w:p w:rsidR="00000000" w:rsidP="00EF313F">
            <w:pPr>
              <w:pStyle w:val="BodyText"/>
              <w:rPr>
                <w:lang w:val="en-NZ"/>
              </w:rPr>
            </w:pPr>
            <w:r w:rsidRPr="00EF313F">
              <w:t>Dismantle, replace and assemble engineering components</w:t>
            </w:r>
          </w:p>
        </w:tc>
      </w:tr>
      <w:tr w:rsidTr="00EF313F">
        <w:tblPrEx>
          <w:tblW w:w="0" w:type="auto"/>
          <w:tblLayout w:type="fixed"/>
          <w:tblCellMar>
            <w:left w:w="62" w:type="dxa"/>
            <w:right w:w="62" w:type="dxa"/>
          </w:tblCellMar>
          <w:tblLook w:val="0000"/>
        </w:tblPrEx>
        <w:tc>
          <w:tcPr>
            <w:tcW w:w="1751" w:type="dxa"/>
            <w:tcBorders>
              <w:top w:val="nil"/>
              <w:left w:val="nil"/>
              <w:bottom w:val="nil"/>
              <w:right w:val="nil"/>
            </w:tcBorders>
            <w:tcMar>
              <w:top w:w="0" w:type="dxa"/>
              <w:left w:w="62" w:type="dxa"/>
              <w:bottom w:w="0" w:type="dxa"/>
              <w:right w:w="62" w:type="dxa"/>
            </w:tcMar>
          </w:tcPr>
          <w:p w:rsidR="00000000" w:rsidP="00EF313F">
            <w:pPr>
              <w:pStyle w:val="BodyText"/>
              <w:rPr>
                <w:lang w:val="en-NZ"/>
              </w:rPr>
            </w:pPr>
            <w:r w:rsidRPr="00EF313F">
              <w:t>MEM27017</w:t>
            </w:r>
          </w:p>
        </w:tc>
        <w:tc>
          <w:tcPr>
            <w:tcW w:w="7391" w:type="dxa"/>
            <w:tcBorders>
              <w:top w:val="nil"/>
              <w:left w:val="nil"/>
              <w:bottom w:val="nil"/>
              <w:right w:val="nil"/>
            </w:tcBorders>
            <w:tcMar>
              <w:top w:w="0" w:type="dxa"/>
              <w:left w:w="62" w:type="dxa"/>
              <w:bottom w:w="0" w:type="dxa"/>
              <w:right w:w="62" w:type="dxa"/>
            </w:tcMar>
          </w:tcPr>
          <w:p w:rsidR="00000000" w:rsidRPr="00EF313F" w:rsidP="00EF313F">
            <w:pPr>
              <w:pStyle w:val="BodyText"/>
            </w:pPr>
            <w:r w:rsidRPr="00EF313F">
              <w:t>Maintain, fault find and rectify hydraulic systems for mobile plant</w:t>
            </w:r>
          </w:p>
        </w:tc>
      </w:tr>
    </w:tbl>
    <w:p w:rsidR="00000000" w:rsidRPr="00EF313F" w:rsidP="00EF313F">
      <w:pPr>
        <w:pStyle w:val="BodyText"/>
      </w:pPr>
    </w:p>
    <w:p w:rsidR="00000000" w:rsidRPr="00EF313F" w:rsidP="00EF313F">
      <w:pPr>
        <w:pStyle w:val="AllowPageBreak"/>
      </w:pPr>
    </w:p>
    <w:p w:rsidR="00000000" w:rsidRPr="00EF313F" w:rsidP="00EF313F">
      <w:pPr>
        <w:pStyle w:val="Heading1"/>
      </w:pPr>
      <w:bookmarkStart w:id="4" w:name="O_960242"/>
      <w:bookmarkEnd w:id="4"/>
      <w:r w:rsidRPr="00EF313F">
        <w:t>Competency Field</w:t>
      </w:r>
    </w:p>
    <w:p w:rsidR="00000000" w:rsidRPr="00EF313F" w:rsidP="00A27673">
      <w:pPr>
        <w:pStyle w:val="BodyText"/>
      </w:pPr>
      <w:r w:rsidRPr="00EF313F">
        <w:t>Fixed and Mobile Plant</w:t>
      </w:r>
    </w:p>
    <w:p w:rsidR="00000000" w:rsidRPr="00EF313F" w:rsidP="00EF313F">
      <w:pPr>
        <w:pStyle w:val="Heading1"/>
      </w:pPr>
      <w:bookmarkStart w:id="5" w:name="O_960240"/>
      <w:bookmarkEnd w:id="5"/>
      <w:r w:rsidRPr="00EF313F">
        <w:t>Elements and Performance Criteria</w:t>
      </w:r>
    </w:p>
    <w:tbl>
      <w:tblPr>
        <w:tblW w:w="9639" w:type="dxa"/>
        <w:tblLayout w:type="fixed"/>
        <w:tblCellMar>
          <w:left w:w="62" w:type="dxa"/>
          <w:right w:w="62" w:type="dxa"/>
        </w:tblCellMar>
        <w:tblLook w:val="0000"/>
      </w:tblPr>
      <w:tblGrid>
        <w:gridCol w:w="680"/>
        <w:gridCol w:w="2155"/>
        <w:gridCol w:w="680"/>
        <w:gridCol w:w="6124"/>
      </w:tblGrid>
      <w:tr w:rsidTr="00A27673">
        <w:tblPrEx>
          <w:tblW w:w="9639" w:type="dxa"/>
          <w:tblLayout w:type="fixed"/>
          <w:tblCellMar>
            <w:left w:w="62" w:type="dxa"/>
            <w:right w:w="62" w:type="dxa"/>
          </w:tblCellMar>
          <w:tblLook w:val="0000"/>
        </w:tblPrEx>
        <w:trPr>
          <w:tblHeader/>
        </w:trPr>
        <w:tc>
          <w:tcPr>
            <w:tcW w:w="2835" w:type="dxa"/>
            <w:gridSpan w:val="2"/>
            <w:tcBorders>
              <w:top w:val="nil"/>
              <w:left w:val="nil"/>
              <w:bottom w:val="nil"/>
              <w:right w:val="nil"/>
            </w:tcBorders>
            <w:tcMar>
              <w:top w:w="0" w:type="dxa"/>
              <w:left w:w="62" w:type="dxa"/>
              <w:bottom w:w="0" w:type="dxa"/>
              <w:right w:w="62" w:type="dxa"/>
            </w:tcMar>
          </w:tcPr>
          <w:p w:rsidR="00000000" w:rsidP="00EF313F">
            <w:pPr>
              <w:pStyle w:val="BodyText"/>
              <w:rPr>
                <w:lang w:val="en-NZ"/>
              </w:rPr>
            </w:pPr>
            <w:r w:rsidRPr="00EF313F">
              <w:t>Elements describe the essential outcomes.</w:t>
            </w:r>
          </w:p>
        </w:tc>
        <w:tc>
          <w:tcPr>
            <w:tcW w:w="6804" w:type="dxa"/>
            <w:gridSpan w:val="2"/>
            <w:tcBorders>
              <w:top w:val="nil"/>
              <w:left w:val="nil"/>
              <w:bottom w:val="nil"/>
              <w:right w:val="nil"/>
            </w:tcBorders>
            <w:tcMar>
              <w:top w:w="0" w:type="dxa"/>
              <w:left w:w="62" w:type="dxa"/>
              <w:bottom w:w="0" w:type="dxa"/>
              <w:right w:w="62" w:type="dxa"/>
            </w:tcMar>
          </w:tcPr>
          <w:p w:rsidR="00000000" w:rsidP="00EF313F">
            <w:pPr>
              <w:pStyle w:val="BodyText"/>
              <w:rPr>
                <w:lang w:val="en-NZ"/>
              </w:rPr>
            </w:pPr>
            <w:r w:rsidRPr="00EF313F">
              <w:t>Performance criteria describe the performance needed to demonstrate achievement of the element.</w:t>
            </w:r>
          </w:p>
        </w:tc>
      </w:tr>
      <w:tr w:rsidTr="00A27673">
        <w:tblPrEx>
          <w:tblW w:w="9639" w:type="dxa"/>
          <w:tblLayout w:type="fixed"/>
          <w:tblCellMar>
            <w:left w:w="62" w:type="dxa"/>
            <w:right w:w="62" w:type="dxa"/>
          </w:tblCellMar>
          <w:tblLook w:val="0000"/>
        </w:tblPrEx>
        <w:tc>
          <w:tcPr>
            <w:tcW w:w="680" w:type="dxa"/>
            <w:vMerge w:val="restart"/>
            <w:tcBorders>
              <w:top w:val="nil"/>
              <w:left w:val="nil"/>
              <w:bottom w:val="nil"/>
              <w:right w:val="nil"/>
            </w:tcBorders>
            <w:tcMar>
              <w:top w:w="0" w:type="dxa"/>
              <w:left w:w="62" w:type="dxa"/>
              <w:bottom w:w="0" w:type="dxa"/>
              <w:right w:w="62" w:type="dxa"/>
            </w:tcMar>
          </w:tcPr>
          <w:p w:rsidR="00000000" w:rsidRPr="00EF313F" w:rsidP="00EF313F">
            <w:pPr>
              <w:pStyle w:val="BodyText"/>
            </w:pPr>
            <w:r w:rsidRPr="00EF313F">
              <w:t>1</w:t>
            </w:r>
          </w:p>
          <w:p w:rsidR="00000000" w:rsidRPr="00EF313F">
            <w:pPr>
              <w:pStyle w:val="BodyText"/>
              <w:keepLines w:val="0"/>
              <w:spacing w:before="0" w:after="0"/>
            </w:pPr>
          </w:p>
        </w:tc>
        <w:tc>
          <w:tcPr>
            <w:tcW w:w="2155" w:type="dxa"/>
            <w:vMerge w:val="restart"/>
            <w:tcBorders>
              <w:top w:val="nil"/>
              <w:left w:val="nil"/>
              <w:bottom w:val="nil"/>
              <w:right w:val="nil"/>
            </w:tcBorders>
            <w:tcMar>
              <w:top w:w="0" w:type="dxa"/>
              <w:left w:w="62" w:type="dxa"/>
              <w:bottom w:w="0" w:type="dxa"/>
              <w:right w:w="62" w:type="dxa"/>
            </w:tcMar>
          </w:tcPr>
          <w:p w:rsidR="00000000" w:rsidRPr="00EF313F" w:rsidP="00EF313F">
            <w:pPr>
              <w:pStyle w:val="BodyText"/>
            </w:pPr>
            <w:r w:rsidRPr="00EF313F">
              <w:rPr>
                <w:rStyle w:val="SpecialBold"/>
              </w:rPr>
              <w:t>Determine job requirements</w:t>
            </w:r>
          </w:p>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EF313F">
            <w:pPr>
              <w:pStyle w:val="BodyText"/>
              <w:rPr>
                <w:lang w:val="en-NZ"/>
              </w:rPr>
            </w:pPr>
            <w:r w:rsidRPr="00EF313F">
              <w:t>1.1</w:t>
            </w:r>
          </w:p>
        </w:tc>
        <w:tc>
          <w:tcPr>
            <w:tcW w:w="6124" w:type="dxa"/>
            <w:tcBorders>
              <w:top w:val="nil"/>
              <w:left w:val="nil"/>
              <w:bottom w:val="nil"/>
              <w:right w:val="nil"/>
            </w:tcBorders>
            <w:tcMar>
              <w:top w:w="0" w:type="dxa"/>
              <w:left w:w="62" w:type="dxa"/>
              <w:bottom w:w="0" w:type="dxa"/>
              <w:right w:w="62" w:type="dxa"/>
            </w:tcMar>
          </w:tcPr>
          <w:p w:rsidR="00000000" w:rsidP="00EF313F">
            <w:pPr>
              <w:pStyle w:val="BodyText"/>
              <w:rPr>
                <w:lang w:val="en-NZ"/>
              </w:rPr>
            </w:pPr>
            <w:r w:rsidRPr="00EF313F">
              <w:t>Follow standard operating proc</w:t>
            </w:r>
            <w:r w:rsidRPr="00EF313F">
              <w:t>edures (SOPs)</w:t>
            </w:r>
          </w:p>
        </w:tc>
      </w:tr>
      <w:tr w:rsidTr="00A27673">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EF313F">
            <w:pPr>
              <w:pStyle w:val="BodyText"/>
              <w:rPr>
                <w:lang w:val="en-NZ"/>
              </w:rPr>
            </w:pPr>
            <w:r w:rsidRPr="00EF313F">
              <w:t>1.2</w:t>
            </w:r>
          </w:p>
        </w:tc>
        <w:tc>
          <w:tcPr>
            <w:tcW w:w="6124" w:type="dxa"/>
            <w:tcBorders>
              <w:top w:val="nil"/>
              <w:left w:val="nil"/>
              <w:bottom w:val="nil"/>
              <w:right w:val="nil"/>
            </w:tcBorders>
            <w:tcMar>
              <w:top w:w="0" w:type="dxa"/>
              <w:left w:w="62" w:type="dxa"/>
              <w:bottom w:w="0" w:type="dxa"/>
              <w:right w:w="62" w:type="dxa"/>
            </w:tcMar>
          </w:tcPr>
          <w:p w:rsidR="00000000" w:rsidP="00EF313F">
            <w:pPr>
              <w:pStyle w:val="BodyText"/>
              <w:rPr>
                <w:lang w:val="en-NZ"/>
              </w:rPr>
            </w:pPr>
            <w:r w:rsidRPr="00EF313F">
              <w:t>Comply with work health and safety (WHS) requirements at all times</w:t>
            </w:r>
          </w:p>
        </w:tc>
      </w:tr>
      <w:tr w:rsidTr="00A27673">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EF313F">
            <w:pPr>
              <w:pStyle w:val="BodyText"/>
              <w:rPr>
                <w:lang w:val="en-NZ"/>
              </w:rPr>
            </w:pPr>
            <w:r w:rsidRPr="00EF313F">
              <w:t>1.3</w:t>
            </w:r>
          </w:p>
        </w:tc>
        <w:tc>
          <w:tcPr>
            <w:tcW w:w="6124" w:type="dxa"/>
            <w:tcBorders>
              <w:top w:val="nil"/>
              <w:left w:val="nil"/>
              <w:bottom w:val="nil"/>
              <w:right w:val="nil"/>
            </w:tcBorders>
            <w:tcMar>
              <w:top w:w="0" w:type="dxa"/>
              <w:left w:w="62" w:type="dxa"/>
              <w:bottom w:w="0" w:type="dxa"/>
              <w:right w:w="62" w:type="dxa"/>
            </w:tcMar>
          </w:tcPr>
          <w:p w:rsidR="00000000" w:rsidP="00EF313F">
            <w:pPr>
              <w:pStyle w:val="BodyText"/>
              <w:rPr>
                <w:lang w:val="en-NZ"/>
              </w:rPr>
            </w:pPr>
            <w:r w:rsidRPr="00EF313F">
              <w:t>Use appropriate personal protective equipment (PPE) in accordance with SOPs</w:t>
            </w:r>
          </w:p>
        </w:tc>
      </w:tr>
      <w:tr w:rsidTr="00A27673">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EF313F">
            <w:pPr>
              <w:pStyle w:val="BodyText"/>
              <w:rPr>
                <w:lang w:val="en-NZ"/>
              </w:rPr>
            </w:pPr>
            <w:r w:rsidRPr="00EF313F">
              <w:t>1.4</w:t>
            </w:r>
          </w:p>
        </w:tc>
        <w:tc>
          <w:tcPr>
            <w:tcW w:w="6124" w:type="dxa"/>
            <w:tcBorders>
              <w:top w:val="nil"/>
              <w:left w:val="nil"/>
              <w:bottom w:val="nil"/>
              <w:right w:val="nil"/>
            </w:tcBorders>
            <w:tcMar>
              <w:top w:w="0" w:type="dxa"/>
              <w:left w:w="62" w:type="dxa"/>
              <w:bottom w:w="0" w:type="dxa"/>
              <w:right w:w="62" w:type="dxa"/>
            </w:tcMar>
          </w:tcPr>
          <w:p w:rsidR="00000000" w:rsidP="00EF313F">
            <w:pPr>
              <w:pStyle w:val="BodyText"/>
              <w:rPr>
                <w:lang w:val="en-NZ"/>
              </w:rPr>
            </w:pPr>
            <w:r w:rsidRPr="00EF313F">
              <w:t>Identify job requirements from specifications, drawings, job sheets or work instructions</w:t>
            </w:r>
          </w:p>
        </w:tc>
      </w:tr>
      <w:tr w:rsidTr="00A27673">
        <w:tblPrEx>
          <w:tblW w:w="9639" w:type="dxa"/>
          <w:tblLayout w:type="fixed"/>
          <w:tblCellMar>
            <w:left w:w="62" w:type="dxa"/>
            <w:right w:w="62" w:type="dxa"/>
          </w:tblCellMar>
          <w:tblLook w:val="0000"/>
        </w:tblPrEx>
        <w:tc>
          <w:tcPr>
            <w:tcW w:w="680" w:type="dxa"/>
            <w:vMerge w:val="restart"/>
            <w:tcBorders>
              <w:top w:val="nil"/>
              <w:left w:val="nil"/>
              <w:bottom w:val="nil"/>
              <w:right w:val="nil"/>
            </w:tcBorders>
            <w:tcMar>
              <w:top w:w="0" w:type="dxa"/>
              <w:left w:w="62" w:type="dxa"/>
              <w:bottom w:w="0" w:type="dxa"/>
              <w:right w:w="62" w:type="dxa"/>
            </w:tcMar>
          </w:tcPr>
          <w:p w:rsidR="00000000" w:rsidRPr="00EF313F" w:rsidP="00EF313F">
            <w:pPr>
              <w:pStyle w:val="BodyText"/>
            </w:pPr>
            <w:r w:rsidRPr="00EF313F">
              <w:t>2</w:t>
            </w:r>
          </w:p>
          <w:p w:rsidR="00000000" w:rsidRPr="00EF313F">
            <w:pPr>
              <w:pStyle w:val="BodyText"/>
              <w:keepLines w:val="0"/>
              <w:spacing w:before="0" w:after="0"/>
            </w:pPr>
          </w:p>
        </w:tc>
        <w:tc>
          <w:tcPr>
            <w:tcW w:w="2155" w:type="dxa"/>
            <w:vMerge w:val="restart"/>
            <w:tcBorders>
              <w:top w:val="nil"/>
              <w:left w:val="nil"/>
              <w:bottom w:val="nil"/>
              <w:right w:val="nil"/>
            </w:tcBorders>
            <w:tcMar>
              <w:top w:w="0" w:type="dxa"/>
              <w:left w:w="62" w:type="dxa"/>
              <w:bottom w:w="0" w:type="dxa"/>
              <w:right w:w="62" w:type="dxa"/>
            </w:tcMar>
          </w:tcPr>
          <w:p w:rsidR="00000000" w:rsidRPr="00EF313F" w:rsidP="00EF313F">
            <w:pPr>
              <w:pStyle w:val="BodyText"/>
            </w:pPr>
            <w:r w:rsidRPr="00EF313F">
              <w:rPr>
                <w:rStyle w:val="SpecialBold"/>
              </w:rPr>
              <w:t xml:space="preserve">Identify and assess the function and operation of hydrostatic system components </w:t>
            </w:r>
          </w:p>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EF313F">
            <w:pPr>
              <w:pStyle w:val="BodyText"/>
              <w:rPr>
                <w:lang w:val="en-NZ"/>
              </w:rPr>
            </w:pPr>
            <w:r w:rsidRPr="00EF313F">
              <w:t>2.1</w:t>
            </w:r>
          </w:p>
        </w:tc>
        <w:tc>
          <w:tcPr>
            <w:tcW w:w="6124" w:type="dxa"/>
            <w:tcBorders>
              <w:top w:val="nil"/>
              <w:left w:val="nil"/>
              <w:bottom w:val="nil"/>
              <w:right w:val="nil"/>
            </w:tcBorders>
            <w:tcMar>
              <w:top w:w="0" w:type="dxa"/>
              <w:left w:w="62" w:type="dxa"/>
              <w:bottom w:w="0" w:type="dxa"/>
              <w:right w:w="62" w:type="dxa"/>
            </w:tcMar>
          </w:tcPr>
          <w:p w:rsidR="00000000" w:rsidP="00EF313F">
            <w:pPr>
              <w:pStyle w:val="BodyText"/>
              <w:rPr>
                <w:lang w:val="en-NZ"/>
              </w:rPr>
            </w:pPr>
            <w:r w:rsidRPr="00EF313F">
              <w:t>Identify motor and pump configurations used on equipment</w:t>
            </w:r>
          </w:p>
        </w:tc>
      </w:tr>
      <w:tr w:rsidTr="00A27673">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EF313F">
            <w:pPr>
              <w:pStyle w:val="BodyText"/>
              <w:rPr>
                <w:lang w:val="en-NZ"/>
              </w:rPr>
            </w:pPr>
            <w:r w:rsidRPr="00EF313F">
              <w:t>2.2</w:t>
            </w:r>
          </w:p>
        </w:tc>
        <w:tc>
          <w:tcPr>
            <w:tcW w:w="6124" w:type="dxa"/>
            <w:tcBorders>
              <w:top w:val="nil"/>
              <w:left w:val="nil"/>
              <w:bottom w:val="nil"/>
              <w:right w:val="nil"/>
            </w:tcBorders>
            <w:tcMar>
              <w:top w:w="0" w:type="dxa"/>
              <w:left w:w="62" w:type="dxa"/>
              <w:bottom w:w="0" w:type="dxa"/>
              <w:right w:w="62" w:type="dxa"/>
            </w:tcMar>
          </w:tcPr>
          <w:p w:rsidR="00000000" w:rsidP="00EF313F">
            <w:pPr>
              <w:pStyle w:val="BodyText"/>
              <w:rPr>
                <w:lang w:val="en-NZ"/>
              </w:rPr>
            </w:pPr>
            <w:r w:rsidRPr="00EF313F">
              <w:t xml:space="preserve">Identify pump types and control methods </w:t>
            </w:r>
          </w:p>
        </w:tc>
      </w:tr>
      <w:tr w:rsidTr="00A27673">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EF313F">
            <w:pPr>
              <w:pStyle w:val="BodyText"/>
              <w:rPr>
                <w:lang w:val="en-NZ"/>
              </w:rPr>
            </w:pPr>
            <w:r w:rsidRPr="00EF313F">
              <w:t>2.3</w:t>
            </w:r>
          </w:p>
        </w:tc>
        <w:tc>
          <w:tcPr>
            <w:tcW w:w="6124" w:type="dxa"/>
            <w:tcBorders>
              <w:top w:val="nil"/>
              <w:left w:val="nil"/>
              <w:bottom w:val="nil"/>
              <w:right w:val="nil"/>
            </w:tcBorders>
            <w:tcMar>
              <w:top w:w="0" w:type="dxa"/>
              <w:left w:w="62" w:type="dxa"/>
              <w:bottom w:w="0" w:type="dxa"/>
              <w:right w:w="62" w:type="dxa"/>
            </w:tcMar>
          </w:tcPr>
          <w:p w:rsidR="00000000" w:rsidP="00EF313F">
            <w:pPr>
              <w:pStyle w:val="BodyText"/>
              <w:rPr>
                <w:lang w:val="en-NZ"/>
              </w:rPr>
            </w:pPr>
            <w:r w:rsidRPr="00EF313F">
              <w:t>Check pump prime mover and alignment</w:t>
            </w:r>
          </w:p>
        </w:tc>
      </w:tr>
      <w:tr w:rsidTr="00A27673">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EF313F">
            <w:pPr>
              <w:pStyle w:val="BodyText"/>
              <w:rPr>
                <w:lang w:val="en-NZ"/>
              </w:rPr>
            </w:pPr>
            <w:r w:rsidRPr="00EF313F">
              <w:t>2.4</w:t>
            </w:r>
          </w:p>
        </w:tc>
        <w:tc>
          <w:tcPr>
            <w:tcW w:w="6124" w:type="dxa"/>
            <w:tcBorders>
              <w:top w:val="nil"/>
              <w:left w:val="nil"/>
              <w:bottom w:val="nil"/>
              <w:right w:val="nil"/>
            </w:tcBorders>
            <w:tcMar>
              <w:top w:w="0" w:type="dxa"/>
              <w:left w:w="62" w:type="dxa"/>
              <w:bottom w:w="0" w:type="dxa"/>
              <w:right w:w="62" w:type="dxa"/>
            </w:tcMar>
          </w:tcPr>
          <w:p w:rsidR="00000000" w:rsidP="00EF313F">
            <w:pPr>
              <w:pStyle w:val="BodyText"/>
              <w:rPr>
                <w:lang w:val="en-NZ"/>
              </w:rPr>
            </w:pPr>
            <w:r w:rsidRPr="00EF313F">
              <w:t>Identify charge pumps and assess operation against specifications</w:t>
            </w:r>
          </w:p>
        </w:tc>
      </w:tr>
      <w:tr w:rsidTr="00A27673">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EF313F">
            <w:pPr>
              <w:pStyle w:val="BodyText"/>
              <w:rPr>
                <w:lang w:val="en-NZ"/>
              </w:rPr>
            </w:pPr>
            <w:r w:rsidRPr="00EF313F">
              <w:t>2.5</w:t>
            </w:r>
          </w:p>
        </w:tc>
        <w:tc>
          <w:tcPr>
            <w:tcW w:w="6124" w:type="dxa"/>
            <w:tcBorders>
              <w:top w:val="nil"/>
              <w:left w:val="nil"/>
              <w:bottom w:val="nil"/>
              <w:right w:val="nil"/>
            </w:tcBorders>
            <w:tcMar>
              <w:top w:w="0" w:type="dxa"/>
              <w:left w:w="62" w:type="dxa"/>
              <w:bottom w:w="0" w:type="dxa"/>
              <w:right w:w="62" w:type="dxa"/>
            </w:tcMar>
          </w:tcPr>
          <w:p w:rsidR="00000000" w:rsidP="00EF313F">
            <w:pPr>
              <w:pStyle w:val="BodyText"/>
              <w:rPr>
                <w:lang w:val="en-NZ"/>
              </w:rPr>
            </w:pPr>
            <w:r w:rsidRPr="00EF313F">
              <w:t xml:space="preserve">Identify control valves and functions, including special control features </w:t>
            </w:r>
          </w:p>
        </w:tc>
      </w:tr>
      <w:tr w:rsidTr="00A27673">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EF313F">
            <w:pPr>
              <w:pStyle w:val="BodyText"/>
              <w:rPr>
                <w:lang w:val="en-NZ"/>
              </w:rPr>
            </w:pPr>
            <w:r w:rsidRPr="00EF313F">
              <w:t>2.6</w:t>
            </w:r>
          </w:p>
        </w:tc>
        <w:tc>
          <w:tcPr>
            <w:tcW w:w="6124" w:type="dxa"/>
            <w:tcBorders>
              <w:top w:val="nil"/>
              <w:left w:val="nil"/>
              <w:bottom w:val="nil"/>
              <w:right w:val="nil"/>
            </w:tcBorders>
            <w:tcMar>
              <w:top w:w="0" w:type="dxa"/>
              <w:left w:w="62" w:type="dxa"/>
              <w:bottom w:w="0" w:type="dxa"/>
              <w:right w:w="62" w:type="dxa"/>
            </w:tcMar>
          </w:tcPr>
          <w:p w:rsidR="00000000" w:rsidP="00EF313F">
            <w:pPr>
              <w:pStyle w:val="BodyText"/>
              <w:rPr>
                <w:lang w:val="en-NZ"/>
              </w:rPr>
            </w:pPr>
            <w:r w:rsidRPr="00EF313F">
              <w:t>Identify load sensors, other sensors, control modules, fieldbus circuits and other electrical or electronic components</w:t>
            </w:r>
          </w:p>
        </w:tc>
      </w:tr>
      <w:tr w:rsidTr="00A27673">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EF313F">
            <w:pPr>
              <w:pStyle w:val="BodyText"/>
              <w:rPr>
                <w:lang w:val="en-NZ"/>
              </w:rPr>
            </w:pPr>
            <w:r w:rsidRPr="00EF313F">
              <w:t>2.7</w:t>
            </w:r>
          </w:p>
        </w:tc>
        <w:tc>
          <w:tcPr>
            <w:tcW w:w="6124" w:type="dxa"/>
            <w:tcBorders>
              <w:top w:val="nil"/>
              <w:left w:val="nil"/>
              <w:bottom w:val="nil"/>
              <w:right w:val="nil"/>
            </w:tcBorders>
            <w:tcMar>
              <w:top w:w="0" w:type="dxa"/>
              <w:left w:w="62" w:type="dxa"/>
              <w:bottom w:w="0" w:type="dxa"/>
              <w:right w:w="62" w:type="dxa"/>
            </w:tcMar>
          </w:tcPr>
          <w:p w:rsidR="00000000" w:rsidP="00EF313F">
            <w:pPr>
              <w:pStyle w:val="BodyText"/>
              <w:rPr>
                <w:lang w:val="en-NZ"/>
              </w:rPr>
            </w:pPr>
            <w:r w:rsidRPr="00EF313F">
              <w:t xml:space="preserve">Locate and check filters, hydraulic lines, heat exchangers and reservoirs </w:t>
            </w:r>
          </w:p>
        </w:tc>
      </w:tr>
      <w:tr w:rsidTr="00A27673">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EF313F">
            <w:pPr>
              <w:pStyle w:val="BodyText"/>
              <w:rPr>
                <w:lang w:val="en-NZ"/>
              </w:rPr>
            </w:pPr>
            <w:r w:rsidRPr="00EF313F">
              <w:t>2.8</w:t>
            </w:r>
          </w:p>
        </w:tc>
        <w:tc>
          <w:tcPr>
            <w:tcW w:w="6124" w:type="dxa"/>
            <w:tcBorders>
              <w:top w:val="nil"/>
              <w:left w:val="nil"/>
              <w:bottom w:val="nil"/>
              <w:right w:val="nil"/>
            </w:tcBorders>
            <w:tcMar>
              <w:top w:w="0" w:type="dxa"/>
              <w:left w:w="62" w:type="dxa"/>
              <w:bottom w:w="0" w:type="dxa"/>
              <w:right w:w="62" w:type="dxa"/>
            </w:tcMar>
          </w:tcPr>
          <w:p w:rsidR="00000000" w:rsidP="00EF313F">
            <w:pPr>
              <w:pStyle w:val="BodyText"/>
              <w:rPr>
                <w:lang w:val="en-NZ"/>
              </w:rPr>
            </w:pPr>
            <w:r w:rsidRPr="00EF313F">
              <w:t xml:space="preserve">Test system operation and integrity according to manufacturer specifications </w:t>
            </w:r>
          </w:p>
        </w:tc>
      </w:tr>
      <w:tr w:rsidTr="00A27673">
        <w:tblPrEx>
          <w:tblW w:w="9639" w:type="dxa"/>
          <w:tblLayout w:type="fixed"/>
          <w:tblCellMar>
            <w:left w:w="62" w:type="dxa"/>
            <w:right w:w="62" w:type="dxa"/>
          </w:tblCellMar>
          <w:tblLook w:val="0000"/>
        </w:tblPrEx>
        <w:tc>
          <w:tcPr>
            <w:tcW w:w="680" w:type="dxa"/>
            <w:vMerge w:val="restart"/>
            <w:tcBorders>
              <w:top w:val="nil"/>
              <w:left w:val="nil"/>
              <w:bottom w:val="nil"/>
              <w:right w:val="nil"/>
            </w:tcBorders>
            <w:tcMar>
              <w:top w:w="0" w:type="dxa"/>
              <w:left w:w="62" w:type="dxa"/>
              <w:bottom w:w="0" w:type="dxa"/>
              <w:right w:w="62" w:type="dxa"/>
            </w:tcMar>
          </w:tcPr>
          <w:p w:rsidR="00000000" w:rsidRPr="00EF313F" w:rsidP="00EF313F">
            <w:pPr>
              <w:pStyle w:val="BodyText"/>
            </w:pPr>
            <w:r w:rsidRPr="00EF313F">
              <w:t>3</w:t>
            </w:r>
          </w:p>
          <w:p w:rsidR="00000000" w:rsidRPr="00EF313F">
            <w:pPr>
              <w:pStyle w:val="BodyText"/>
              <w:keepLines w:val="0"/>
              <w:spacing w:before="0" w:after="0"/>
            </w:pPr>
          </w:p>
        </w:tc>
        <w:tc>
          <w:tcPr>
            <w:tcW w:w="2155" w:type="dxa"/>
            <w:vMerge w:val="restart"/>
            <w:tcBorders>
              <w:top w:val="nil"/>
              <w:left w:val="nil"/>
              <w:bottom w:val="nil"/>
              <w:right w:val="nil"/>
            </w:tcBorders>
            <w:tcMar>
              <w:top w:w="0" w:type="dxa"/>
              <w:left w:w="62" w:type="dxa"/>
              <w:bottom w:w="0" w:type="dxa"/>
              <w:right w:w="62" w:type="dxa"/>
            </w:tcMar>
          </w:tcPr>
          <w:p w:rsidR="00000000" w:rsidRPr="00EF313F" w:rsidP="00EF313F">
            <w:pPr>
              <w:pStyle w:val="BodyText"/>
            </w:pPr>
            <w:r w:rsidRPr="00EF313F">
              <w:rPr>
                <w:rStyle w:val="SpecialBold"/>
              </w:rPr>
              <w:t>Repair/replace faulty components</w:t>
            </w:r>
          </w:p>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EF313F">
            <w:pPr>
              <w:pStyle w:val="BodyText"/>
              <w:rPr>
                <w:lang w:val="en-NZ"/>
              </w:rPr>
            </w:pPr>
            <w:r w:rsidRPr="00EF313F">
              <w:t>3.1</w:t>
            </w:r>
          </w:p>
        </w:tc>
        <w:tc>
          <w:tcPr>
            <w:tcW w:w="6124" w:type="dxa"/>
            <w:tcBorders>
              <w:top w:val="nil"/>
              <w:left w:val="nil"/>
              <w:bottom w:val="nil"/>
              <w:right w:val="nil"/>
            </w:tcBorders>
            <w:tcMar>
              <w:top w:w="0" w:type="dxa"/>
              <w:left w:w="62" w:type="dxa"/>
              <w:bottom w:w="0" w:type="dxa"/>
              <w:right w:w="62" w:type="dxa"/>
            </w:tcMar>
          </w:tcPr>
          <w:p w:rsidR="00000000" w:rsidP="00EF313F">
            <w:pPr>
              <w:pStyle w:val="BodyText"/>
              <w:rPr>
                <w:lang w:val="en-NZ"/>
              </w:rPr>
            </w:pPr>
            <w:r w:rsidRPr="00EF313F">
              <w:t>Interpret test results and determine components requiring repairs or replacement</w:t>
            </w:r>
          </w:p>
        </w:tc>
      </w:tr>
      <w:tr w:rsidTr="00A27673">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EF313F">
            <w:pPr>
              <w:pStyle w:val="BodyText"/>
              <w:rPr>
                <w:lang w:val="en-NZ"/>
              </w:rPr>
            </w:pPr>
            <w:r w:rsidRPr="00EF313F">
              <w:t>3.2</w:t>
            </w:r>
          </w:p>
        </w:tc>
        <w:tc>
          <w:tcPr>
            <w:tcW w:w="6124" w:type="dxa"/>
            <w:tcBorders>
              <w:top w:val="nil"/>
              <w:left w:val="nil"/>
              <w:bottom w:val="nil"/>
              <w:right w:val="nil"/>
            </w:tcBorders>
            <w:tcMar>
              <w:top w:w="0" w:type="dxa"/>
              <w:left w:w="62" w:type="dxa"/>
              <w:bottom w:w="0" w:type="dxa"/>
              <w:right w:w="62" w:type="dxa"/>
            </w:tcMar>
          </w:tcPr>
          <w:p w:rsidR="00000000" w:rsidP="00EF313F">
            <w:pPr>
              <w:pStyle w:val="BodyText"/>
              <w:rPr>
                <w:lang w:val="en-NZ"/>
              </w:rPr>
            </w:pPr>
            <w:r w:rsidRPr="00EF313F">
              <w:t>Determine component wear and clearances using appropriate test equipment and manufacturer recommendations</w:t>
            </w:r>
          </w:p>
        </w:tc>
      </w:tr>
      <w:tr w:rsidTr="00A27673">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EF313F">
            <w:pPr>
              <w:pStyle w:val="BodyText"/>
              <w:rPr>
                <w:lang w:val="en-NZ"/>
              </w:rPr>
            </w:pPr>
            <w:r w:rsidRPr="00EF313F">
              <w:t>3.3</w:t>
            </w:r>
          </w:p>
        </w:tc>
        <w:tc>
          <w:tcPr>
            <w:tcW w:w="6124" w:type="dxa"/>
            <w:tcBorders>
              <w:top w:val="nil"/>
              <w:left w:val="nil"/>
              <w:bottom w:val="nil"/>
              <w:right w:val="nil"/>
            </w:tcBorders>
            <w:tcMar>
              <w:top w:w="0" w:type="dxa"/>
              <w:left w:w="62" w:type="dxa"/>
              <w:bottom w:w="0" w:type="dxa"/>
              <w:right w:w="62" w:type="dxa"/>
            </w:tcMar>
          </w:tcPr>
          <w:p w:rsidR="00000000" w:rsidP="00EF313F">
            <w:pPr>
              <w:pStyle w:val="BodyText"/>
              <w:rPr>
                <w:lang w:val="en-NZ"/>
              </w:rPr>
            </w:pPr>
            <w:r w:rsidRPr="00EF313F">
              <w:t>Select replacement components using manufacturer’s data</w:t>
            </w:r>
          </w:p>
        </w:tc>
      </w:tr>
      <w:tr w:rsidTr="00A27673">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EF313F">
            <w:pPr>
              <w:pStyle w:val="BodyText"/>
              <w:rPr>
                <w:lang w:val="en-NZ"/>
              </w:rPr>
            </w:pPr>
            <w:r w:rsidRPr="00EF313F">
              <w:t>3.4</w:t>
            </w:r>
          </w:p>
        </w:tc>
        <w:tc>
          <w:tcPr>
            <w:tcW w:w="6124" w:type="dxa"/>
            <w:tcBorders>
              <w:top w:val="nil"/>
              <w:left w:val="nil"/>
              <w:bottom w:val="nil"/>
              <w:right w:val="nil"/>
            </w:tcBorders>
            <w:tcMar>
              <w:top w:w="0" w:type="dxa"/>
              <w:left w:w="62" w:type="dxa"/>
              <w:bottom w:w="0" w:type="dxa"/>
              <w:right w:w="62" w:type="dxa"/>
            </w:tcMar>
          </w:tcPr>
          <w:p w:rsidR="00000000" w:rsidP="00EF313F">
            <w:pPr>
              <w:pStyle w:val="BodyText"/>
              <w:rPr>
                <w:lang w:val="en-NZ"/>
              </w:rPr>
            </w:pPr>
            <w:r w:rsidRPr="00EF313F">
              <w:t>Remove and refit components to hydrostatic system using appropriate tools, equip</w:t>
            </w:r>
            <w:r w:rsidRPr="00EF313F">
              <w:t>ment and techniques</w:t>
            </w:r>
          </w:p>
        </w:tc>
      </w:tr>
      <w:tr w:rsidTr="00A27673">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EF313F">
            <w:pPr>
              <w:pStyle w:val="BodyText"/>
              <w:rPr>
                <w:lang w:val="en-NZ"/>
              </w:rPr>
            </w:pPr>
            <w:r w:rsidRPr="00EF313F">
              <w:t>3.5</w:t>
            </w:r>
          </w:p>
        </w:tc>
        <w:tc>
          <w:tcPr>
            <w:tcW w:w="6124" w:type="dxa"/>
            <w:tcBorders>
              <w:top w:val="nil"/>
              <w:left w:val="nil"/>
              <w:bottom w:val="nil"/>
              <w:right w:val="nil"/>
            </w:tcBorders>
            <w:tcMar>
              <w:top w:w="0" w:type="dxa"/>
              <w:left w:w="62" w:type="dxa"/>
              <w:bottom w:w="0" w:type="dxa"/>
              <w:right w:w="62" w:type="dxa"/>
            </w:tcMar>
          </w:tcPr>
          <w:p w:rsidR="00000000" w:rsidP="00EF313F">
            <w:pPr>
              <w:pStyle w:val="BodyText"/>
              <w:rPr>
                <w:lang w:val="en-NZ"/>
              </w:rPr>
            </w:pPr>
            <w:r w:rsidRPr="00EF313F">
              <w:t>Test performance of hydrostatic system against specification</w:t>
            </w:r>
          </w:p>
        </w:tc>
      </w:tr>
      <w:tr w:rsidTr="00A27673">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EF313F">
            <w:pPr>
              <w:pStyle w:val="BodyText"/>
              <w:rPr>
                <w:lang w:val="en-NZ"/>
              </w:rPr>
            </w:pPr>
            <w:r w:rsidRPr="00EF313F">
              <w:t>3.6</w:t>
            </w:r>
          </w:p>
        </w:tc>
        <w:tc>
          <w:tcPr>
            <w:tcW w:w="6124" w:type="dxa"/>
            <w:tcBorders>
              <w:top w:val="nil"/>
              <w:left w:val="nil"/>
              <w:bottom w:val="nil"/>
              <w:right w:val="nil"/>
            </w:tcBorders>
            <w:tcMar>
              <w:top w:w="0" w:type="dxa"/>
              <w:left w:w="62" w:type="dxa"/>
              <w:bottom w:w="0" w:type="dxa"/>
              <w:right w:w="62" w:type="dxa"/>
            </w:tcMar>
          </w:tcPr>
          <w:p w:rsidR="00000000" w:rsidRPr="00EF313F" w:rsidP="00EF313F">
            <w:pPr>
              <w:pStyle w:val="BodyText"/>
            </w:pPr>
            <w:r w:rsidRPr="00EF313F">
              <w:t>Record all test and rectification activities</w:t>
            </w:r>
          </w:p>
        </w:tc>
      </w:tr>
    </w:tbl>
    <w:p w:rsidR="00000000" w:rsidRPr="00EF313F" w:rsidP="00EF313F">
      <w:pPr>
        <w:pStyle w:val="BodyText"/>
      </w:pPr>
    </w:p>
    <w:p w:rsidR="00000000" w:rsidRPr="00EF313F" w:rsidP="00EF313F">
      <w:pPr>
        <w:pStyle w:val="AllowPageBreak"/>
      </w:pPr>
    </w:p>
    <w:p w:rsidR="00000000" w:rsidRPr="00EF313F" w:rsidP="00EF313F">
      <w:pPr>
        <w:pStyle w:val="Heading1"/>
      </w:pPr>
      <w:bookmarkStart w:id="6" w:name="O_960239"/>
      <w:bookmarkEnd w:id="6"/>
      <w:r w:rsidRPr="00EF313F">
        <w:t>Foundation Skills</w:t>
      </w:r>
    </w:p>
    <w:p w:rsidR="00000000" w:rsidRPr="00EF313F" w:rsidP="00A27673">
      <w:pPr>
        <w:pStyle w:val="BodyText"/>
      </w:pPr>
      <w:r w:rsidRPr="00EF313F">
        <w:t xml:space="preserve">This section describes those required skills (reading, writing, oral communication and numeracy) that are essential to workplace performance in this unit of competency.  </w:t>
      </w:r>
    </w:p>
    <w:p w:rsidR="00000000" w:rsidRPr="00EF313F" w:rsidP="00A27673">
      <w:pPr>
        <w:pStyle w:val="BodyText"/>
      </w:pPr>
      <w:r w:rsidRPr="00EF313F">
        <w:t xml:space="preserve">Foundation skills essential to performance are explicit in the performance criteria </w:t>
      </w:r>
      <w:r w:rsidRPr="00EF313F">
        <w:t>of this unit of competency.</w:t>
      </w:r>
    </w:p>
    <w:p w:rsidR="00000000" w:rsidRPr="00EF313F" w:rsidP="00EF313F">
      <w:pPr>
        <w:pStyle w:val="Heading1"/>
      </w:pPr>
      <w:bookmarkStart w:id="7" w:name="O_960238"/>
      <w:bookmarkEnd w:id="7"/>
      <w:r w:rsidRPr="00EF313F">
        <w:t>Range of Conditions</w:t>
      </w:r>
    </w:p>
    <w:tbl>
      <w:tblPr>
        <w:tblW w:w="9639" w:type="dxa"/>
        <w:tblLayout w:type="fixed"/>
        <w:tblCellMar>
          <w:left w:w="62" w:type="dxa"/>
          <w:right w:w="62" w:type="dxa"/>
        </w:tblCellMar>
        <w:tblLook w:val="0000"/>
      </w:tblPr>
      <w:tblGrid>
        <w:gridCol w:w="2835"/>
        <w:gridCol w:w="6804"/>
      </w:tblGrid>
      <w:tr w:rsidTr="00EF313F">
        <w:tblPrEx>
          <w:tblW w:w="9639" w:type="dxa"/>
          <w:tblLayout w:type="fixed"/>
          <w:tblCellMar>
            <w:left w:w="62" w:type="dxa"/>
            <w:right w:w="62" w:type="dxa"/>
          </w:tblCellMar>
          <w:tblLook w:val="0000"/>
        </w:tblPrEx>
        <w:trPr>
          <w:tblHeader/>
        </w:trPr>
        <w:tc>
          <w:tcPr>
            <w:tcW w:w="9639" w:type="dxa"/>
            <w:gridSpan w:val="2"/>
            <w:tcBorders>
              <w:top w:val="nil"/>
              <w:left w:val="nil"/>
              <w:bottom w:val="nil"/>
              <w:right w:val="nil"/>
            </w:tcBorders>
            <w:tcMar>
              <w:top w:w="0" w:type="dxa"/>
              <w:left w:w="62" w:type="dxa"/>
              <w:bottom w:w="0" w:type="dxa"/>
              <w:right w:w="62" w:type="dxa"/>
            </w:tcMar>
          </w:tcPr>
          <w:p w:rsidR="00000000" w:rsidP="00EF313F">
            <w:pPr>
              <w:pStyle w:val="BodyText"/>
              <w:rPr>
                <w:lang w:val="en-NZ"/>
              </w:rPr>
            </w:pPr>
            <w:r w:rsidRPr="00EF313F">
              <w:t>This field allows for different work environments and conditions that may affect performance. Essential operating conditions that may be present (depending on the work situation, needs of the</w:t>
            </w:r>
            <w:r w:rsidRPr="00EF313F">
              <w:t xml:space="preserve"> candidate, accessibility of the item, and local industry and regional contexts) are included.</w:t>
            </w:r>
          </w:p>
        </w:tc>
      </w:tr>
      <w:tr w:rsidTr="00EF313F">
        <w:tblPrEx>
          <w:tblW w:w="9639"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EF313F">
            <w:pPr>
              <w:pStyle w:val="BodyText"/>
              <w:rPr>
                <w:lang w:val="en-NZ"/>
              </w:rPr>
            </w:pPr>
            <w:r w:rsidRPr="00EF313F">
              <w:rPr>
                <w:rStyle w:val="SpecialBold"/>
              </w:rPr>
              <w:t>Hydrostatic motor and pump configuration includes one (1) or more of the following:</w:t>
            </w:r>
          </w:p>
        </w:tc>
        <w:tc>
          <w:tcPr>
            <w:tcW w:w="6804" w:type="dxa"/>
            <w:tcBorders>
              <w:top w:val="nil"/>
              <w:left w:val="nil"/>
              <w:bottom w:val="nil"/>
              <w:right w:val="nil"/>
            </w:tcBorders>
            <w:tcMar>
              <w:top w:w="0" w:type="dxa"/>
              <w:left w:w="62" w:type="dxa"/>
              <w:bottom w:w="0" w:type="dxa"/>
              <w:right w:w="62" w:type="dxa"/>
            </w:tcMar>
          </w:tcPr>
          <w:p w:rsidR="00000000" w:rsidRPr="00EF313F" w:rsidP="00EF313F">
            <w:pPr>
              <w:pStyle w:val="ListBullet"/>
            </w:pPr>
            <w:r w:rsidRPr="00EF313F">
              <w:t>close coupled (motor and pump back to back units)</w:t>
            </w:r>
          </w:p>
          <w:p w:rsidR="00000000" w:rsidRPr="00EF313F" w:rsidP="00EF313F">
            <w:pPr>
              <w:pStyle w:val="ListBullet"/>
            </w:pPr>
            <w:r w:rsidRPr="00EF313F">
              <w:t>split units (separate motor and pump) single and double</w:t>
            </w:r>
          </w:p>
          <w:p w:rsidR="00000000" w:rsidRPr="00EF313F" w:rsidP="00EF313F">
            <w:pPr>
              <w:pStyle w:val="ListBullet"/>
            </w:pPr>
            <w:r w:rsidRPr="00EF313F">
              <w:t>multiple pump/motor layouts</w:t>
            </w:r>
          </w:p>
          <w:p w:rsidR="00000000" w:rsidRPr="00EF313F" w:rsidP="00EF313F">
            <w:pPr>
              <w:pStyle w:val="ListBullet"/>
            </w:pPr>
            <w:r w:rsidRPr="00EF313F">
              <w:t>series and parallel operation</w:t>
            </w:r>
          </w:p>
          <w:p w:rsidR="00000000" w:rsidP="00EF313F">
            <w:pPr>
              <w:pStyle w:val="ListBullet"/>
              <w:rPr>
                <w:lang w:val="en-NZ"/>
              </w:rPr>
            </w:pPr>
            <w:r w:rsidRPr="00EF313F">
              <w:t>fixed and variable displacement pumps</w:t>
            </w:r>
          </w:p>
        </w:tc>
      </w:tr>
      <w:tr w:rsidTr="00EF313F">
        <w:tblPrEx>
          <w:tblW w:w="9639"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EF313F">
            <w:pPr>
              <w:pStyle w:val="BodyText"/>
              <w:rPr>
                <w:lang w:val="en-NZ"/>
              </w:rPr>
            </w:pPr>
            <w:r w:rsidRPr="00EF313F">
              <w:rPr>
                <w:rStyle w:val="SpecialBold"/>
              </w:rPr>
              <w:t>Control valves include one (1) or more of the following:</w:t>
            </w:r>
          </w:p>
        </w:tc>
        <w:tc>
          <w:tcPr>
            <w:tcW w:w="6804" w:type="dxa"/>
            <w:tcBorders>
              <w:top w:val="nil"/>
              <w:left w:val="nil"/>
              <w:bottom w:val="nil"/>
              <w:right w:val="nil"/>
            </w:tcBorders>
            <w:tcMar>
              <w:top w:w="0" w:type="dxa"/>
              <w:left w:w="62" w:type="dxa"/>
              <w:bottom w:w="0" w:type="dxa"/>
              <w:right w:w="62" w:type="dxa"/>
            </w:tcMar>
          </w:tcPr>
          <w:p w:rsidR="00000000" w:rsidRPr="00EF313F" w:rsidP="00EF313F">
            <w:pPr>
              <w:pStyle w:val="ListBullet"/>
            </w:pPr>
            <w:r w:rsidRPr="00EF313F">
              <w:t xml:space="preserve">hot oil shuttle valves </w:t>
            </w:r>
          </w:p>
          <w:p w:rsidR="00000000" w:rsidRPr="00EF313F" w:rsidP="00EF313F">
            <w:pPr>
              <w:pStyle w:val="ListBullet"/>
            </w:pPr>
            <w:r w:rsidRPr="00EF313F">
              <w:t xml:space="preserve">cross-line relief valves </w:t>
            </w:r>
          </w:p>
          <w:p w:rsidR="00000000" w:rsidRPr="00EF313F" w:rsidP="00EF313F">
            <w:pPr>
              <w:pStyle w:val="ListBullet"/>
            </w:pPr>
            <w:r w:rsidRPr="00EF313F">
              <w:t xml:space="preserve">counterbalance valves </w:t>
            </w:r>
          </w:p>
          <w:p w:rsidR="00000000" w:rsidRPr="00EF313F" w:rsidP="00EF313F">
            <w:pPr>
              <w:pStyle w:val="ListBullet"/>
            </w:pPr>
            <w:r w:rsidRPr="00EF313F">
              <w:t>bypass valves</w:t>
            </w:r>
          </w:p>
          <w:p w:rsidR="00000000" w:rsidRPr="00EF313F" w:rsidP="00EF313F">
            <w:pPr>
              <w:pStyle w:val="ListBullet"/>
            </w:pPr>
            <w:r w:rsidRPr="00EF313F">
              <w:t>differential lock valves</w:t>
            </w:r>
          </w:p>
          <w:p w:rsidR="00000000" w:rsidP="00EF313F">
            <w:pPr>
              <w:pStyle w:val="ListBullet"/>
              <w:rPr>
                <w:lang w:val="en-NZ"/>
              </w:rPr>
            </w:pPr>
            <w:r w:rsidRPr="00EF313F">
              <w:t>parking brake valves</w:t>
            </w:r>
          </w:p>
        </w:tc>
      </w:tr>
      <w:tr w:rsidTr="00EF313F">
        <w:tblPrEx>
          <w:tblW w:w="9639"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EF313F">
            <w:pPr>
              <w:pStyle w:val="BodyText"/>
              <w:rPr>
                <w:lang w:val="en-NZ"/>
              </w:rPr>
            </w:pPr>
            <w:r w:rsidRPr="00EF313F">
              <w:rPr>
                <w:rStyle w:val="SpecialBold"/>
              </w:rPr>
              <w:t>Hydrostatic special control features include one (1) or more of the following:</w:t>
            </w:r>
          </w:p>
        </w:tc>
        <w:tc>
          <w:tcPr>
            <w:tcW w:w="6804" w:type="dxa"/>
            <w:tcBorders>
              <w:top w:val="nil"/>
              <w:left w:val="nil"/>
              <w:bottom w:val="nil"/>
              <w:right w:val="nil"/>
            </w:tcBorders>
            <w:tcMar>
              <w:top w:w="0" w:type="dxa"/>
              <w:left w:w="62" w:type="dxa"/>
              <w:bottom w:w="0" w:type="dxa"/>
              <w:right w:w="62" w:type="dxa"/>
            </w:tcMar>
          </w:tcPr>
          <w:p w:rsidR="00000000" w:rsidRPr="00EF313F" w:rsidP="00EF313F">
            <w:pPr>
              <w:pStyle w:val="ListBullet"/>
            </w:pPr>
            <w:r w:rsidRPr="00EF313F">
              <w:t>inch control</w:t>
            </w:r>
          </w:p>
          <w:p w:rsidR="00000000" w:rsidRPr="00EF313F" w:rsidP="00EF313F">
            <w:pPr>
              <w:pStyle w:val="ListBullet"/>
            </w:pPr>
            <w:r w:rsidRPr="00EF313F">
              <w:t>creep speed</w:t>
            </w:r>
          </w:p>
          <w:p w:rsidR="00000000" w:rsidRPr="00EF313F" w:rsidP="00EF313F">
            <w:pPr>
              <w:pStyle w:val="ListBullet"/>
            </w:pPr>
            <w:r w:rsidRPr="00EF313F">
              <w:t>brake defeat function</w:t>
            </w:r>
          </w:p>
          <w:p w:rsidR="00000000" w:rsidRPr="00EF313F" w:rsidP="00EF313F">
            <w:pPr>
              <w:pStyle w:val="ListBullet"/>
            </w:pPr>
            <w:r w:rsidRPr="00EF313F">
              <w:t>hydrostatic braking</w:t>
            </w:r>
          </w:p>
        </w:tc>
      </w:tr>
    </w:tbl>
    <w:p w:rsidR="00000000" w:rsidRPr="00EF313F" w:rsidP="00EF313F">
      <w:pPr>
        <w:pStyle w:val="BodyText"/>
      </w:pPr>
    </w:p>
    <w:p w:rsidR="00000000" w:rsidRPr="00EF313F" w:rsidP="00EF313F">
      <w:pPr>
        <w:pStyle w:val="AllowPageBreak"/>
      </w:pPr>
    </w:p>
    <w:p w:rsidR="00000000" w:rsidRPr="00EF313F" w:rsidP="00EF313F">
      <w:pPr>
        <w:pStyle w:val="Heading1"/>
      </w:pPr>
      <w:bookmarkStart w:id="8" w:name="O_960237"/>
      <w:bookmarkEnd w:id="8"/>
      <w:r w:rsidRPr="00EF313F">
        <w:t>Unit Mapping Information</w:t>
      </w:r>
    </w:p>
    <w:p w:rsidR="00000000" w:rsidRPr="00EF313F" w:rsidP="00A27673">
      <w:pPr>
        <w:pStyle w:val="BodyText"/>
      </w:pPr>
      <w:r w:rsidRPr="00EF313F">
        <w:t>No equivalent unit.</w:t>
      </w:r>
    </w:p>
    <w:p w:rsidR="00000000" w:rsidRPr="00EF313F" w:rsidP="00EF313F">
      <w:pPr>
        <w:pStyle w:val="Heading1"/>
      </w:pPr>
      <w:bookmarkStart w:id="9" w:name="O_960230"/>
      <w:bookmarkEnd w:id="9"/>
      <w:r w:rsidRPr="00EF313F">
        <w:t>Links</w:t>
      </w:r>
    </w:p>
    <w:p w:rsidR="00000000" w:rsidRPr="00EF313F" w:rsidP="00A27673">
      <w:pPr>
        <w:pStyle w:val="BodyText"/>
      </w:pPr>
      <w:r w:rsidRPr="00EF313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27573B">
        <w:rPr>
          <w:rStyle w:val="Hyperlink"/>
        </w:rPr>
        <w:t>https://vetnet.gov.au/Pages/TrainingDocs.aspx?q=b7050d37-5fd0-4740-8f7d-3b7a49c10bb2</w:t>
      </w:r>
      <w:r>
        <w:fldChar w:fldCharType="end"/>
      </w:r>
    </w:p>
    <w:p w:rsidR="00000000" w:rsidRPr="00EF313F" w:rsidP="00A27673">
      <w:pPr>
        <w:pStyle w:val="BodyText"/>
        <w:sectPr w:rsidSect="00EF313F">
          <w:headerReference w:type="default" r:id="rId10"/>
          <w:footerReference w:type="default" r:id="rId11"/>
          <w:pgSz w:w="11908" w:h="16833"/>
          <w:pgMar w:top="1702" w:right="1418" w:bottom="1702" w:left="1418" w:header="992" w:footer="992" w:gutter="0"/>
          <w:cols w:space="720"/>
          <w:noEndnote/>
          <w:docGrid w:linePitch="299"/>
        </w:sectPr>
      </w:pPr>
    </w:p>
    <w:p w:rsidR="00000000" w:rsidRPr="00EF313F" w:rsidP="00EF313F">
      <w:pPr>
        <w:pStyle w:val="SuperHeading"/>
      </w:pPr>
      <w:r w:rsidRPr="00EF313F">
        <w:t>Assessment Requirements for MEM27024 Diagnose and rectify mobile plant hydrostatic systems</w:t>
      </w:r>
    </w:p>
    <w:p w:rsidR="00000000" w:rsidRPr="00EF313F" w:rsidP="00EF313F">
      <w:pPr>
        <w:pStyle w:val="Heading1"/>
      </w:pPr>
      <w:bookmarkStart w:id="10" w:name="O_960232"/>
      <w:bookmarkEnd w:id="10"/>
      <w:r w:rsidRPr="00EF313F">
        <w:t>Modification History</w:t>
      </w:r>
    </w:p>
    <w:p w:rsidR="00000000" w:rsidRPr="00EF313F" w:rsidP="00A27673">
      <w:pPr>
        <w:pStyle w:val="BodyText"/>
      </w:pPr>
      <w:r w:rsidRPr="00EF313F">
        <w:t>Release 1: New unit</w:t>
      </w:r>
    </w:p>
    <w:p w:rsidR="00000000" w:rsidRPr="00EF313F" w:rsidP="00EF313F">
      <w:pPr>
        <w:pStyle w:val="Heading1"/>
      </w:pPr>
      <w:bookmarkStart w:id="11" w:name="O_960235"/>
      <w:bookmarkEnd w:id="11"/>
      <w:r w:rsidRPr="00EF313F">
        <w:t>Performance Evidence</w:t>
      </w:r>
    </w:p>
    <w:p w:rsidR="00000000" w:rsidRPr="00EF313F" w:rsidP="00A27673">
      <w:pPr>
        <w:pStyle w:val="BodyText"/>
      </w:pPr>
      <w:r w:rsidRPr="00EF313F">
        <w:t>Evidence required to demonstrate competence in this unit must be relevant to and satisfy the requirements of the elements and performance criteria on at least two (2) occasions using different types of mobile plant hydrostatic systems and include:</w:t>
      </w:r>
    </w:p>
    <w:p w:rsidR="00000000" w:rsidRPr="00EF313F" w:rsidP="00EF313F">
      <w:pPr>
        <w:pStyle w:val="ListBullet"/>
      </w:pPr>
      <w:r w:rsidRPr="00EF313F">
        <w:t>followi</w:t>
      </w:r>
      <w:r w:rsidRPr="00EF313F">
        <w:t xml:space="preserve">ng work instructions, standard operating procedures (SOPs) and safe work practices </w:t>
      </w:r>
    </w:p>
    <w:p w:rsidR="00000000" w:rsidRPr="00EF313F" w:rsidP="00EF313F">
      <w:pPr>
        <w:pStyle w:val="ListBullet"/>
      </w:pPr>
      <w:r w:rsidRPr="00EF313F">
        <w:t>identifying and interpreting specifications, charts, lists, drawings, design rules and other applicable reference documents to mobile plant hydrostatic systems</w:t>
      </w:r>
    </w:p>
    <w:p w:rsidR="00000000" w:rsidRPr="00EF313F" w:rsidP="00EF313F">
      <w:pPr>
        <w:pStyle w:val="ListBullet"/>
      </w:pPr>
      <w:r w:rsidRPr="00EF313F">
        <w:t>performing diagnostic testing procedures for hydrostatic transmissions, including:</w:t>
      </w:r>
    </w:p>
    <w:p w:rsidR="00000000" w:rsidRPr="00EF313F" w:rsidP="00EF313F">
      <w:pPr>
        <w:pStyle w:val="ListBullet2"/>
      </w:pPr>
      <w:r w:rsidRPr="00EF313F">
        <w:t>flow and pressure testing</w:t>
      </w:r>
    </w:p>
    <w:p w:rsidR="00000000" w:rsidRPr="00EF313F" w:rsidP="00EF313F">
      <w:pPr>
        <w:pStyle w:val="ListBullet2"/>
      </w:pPr>
      <w:r w:rsidRPr="00EF313F">
        <w:t>measuring case drains</w:t>
      </w:r>
    </w:p>
    <w:p w:rsidR="00000000" w:rsidRPr="00EF313F" w:rsidP="00EF313F">
      <w:pPr>
        <w:pStyle w:val="ListBullet2"/>
      </w:pPr>
      <w:r w:rsidRPr="00EF313F">
        <w:t>internal and external fluid leaks</w:t>
      </w:r>
    </w:p>
    <w:p w:rsidR="00000000" w:rsidRPr="00EF313F" w:rsidP="00EF313F">
      <w:pPr>
        <w:pStyle w:val="ListBullet2"/>
      </w:pPr>
      <w:r w:rsidRPr="00EF313F">
        <w:t>abnormal noises and operation</w:t>
      </w:r>
    </w:p>
    <w:p w:rsidR="00000000" w:rsidRPr="00EF313F" w:rsidP="00EF313F">
      <w:pPr>
        <w:pStyle w:val="ListBullet2"/>
      </w:pPr>
      <w:r w:rsidRPr="00EF313F">
        <w:t>scan tools and/or multimeter testing</w:t>
      </w:r>
    </w:p>
    <w:p w:rsidR="00000000" w:rsidRPr="00EF313F" w:rsidP="00EF313F">
      <w:pPr>
        <w:pStyle w:val="ListBullet"/>
      </w:pPr>
      <w:r w:rsidRPr="00EF313F">
        <w:t>undertaking calculatio</w:t>
      </w:r>
      <w:r w:rsidRPr="00EF313F">
        <w:t>n and numerical operations associated with diagnosing and rectifying closed circuit fluid power systems</w:t>
      </w:r>
    </w:p>
    <w:p w:rsidR="00000000" w:rsidRPr="00EF313F" w:rsidP="00EF313F">
      <w:pPr>
        <w:pStyle w:val="ListBullet"/>
      </w:pPr>
      <w:r w:rsidRPr="00EF313F">
        <w:t>checking hydrostatic system components for wear and clearance</w:t>
      </w:r>
    </w:p>
    <w:p w:rsidR="00000000" w:rsidRPr="00EF313F" w:rsidP="00EF313F">
      <w:pPr>
        <w:pStyle w:val="ListBullet"/>
      </w:pPr>
      <w:r w:rsidRPr="00EF313F">
        <w:t>removing, refitting, adjusting and aligning hydrostatic system components</w:t>
      </w:r>
    </w:p>
    <w:p w:rsidR="00000000" w:rsidRPr="00EF313F" w:rsidP="00EF313F">
      <w:pPr>
        <w:pStyle w:val="ListBullet"/>
      </w:pPr>
      <w:r w:rsidRPr="00EF313F">
        <w:t>selecting and us</w:t>
      </w:r>
      <w:r w:rsidRPr="00EF313F">
        <w:t xml:space="preserve">ing appropriate test equipment to test components for compliance to specifications </w:t>
      </w:r>
    </w:p>
    <w:p w:rsidR="00000000" w:rsidRPr="00EF313F" w:rsidP="00EF313F">
      <w:pPr>
        <w:pStyle w:val="ListBullet"/>
      </w:pPr>
      <w:r w:rsidRPr="00EF313F">
        <w:t>interpreting fault codes and data from test equipment and control modules</w:t>
      </w:r>
    </w:p>
    <w:p w:rsidR="00000000" w:rsidRPr="00EF313F" w:rsidP="00EF313F">
      <w:pPr>
        <w:pStyle w:val="ListBullet"/>
      </w:pPr>
      <w:r w:rsidRPr="00EF313F">
        <w:t>identifying faulty components visually and by using and adapting appropriate testing equipment and</w:t>
      </w:r>
      <w:r w:rsidRPr="00EF313F">
        <w:t xml:space="preserve"> identifying components for reuse or replacement</w:t>
      </w:r>
    </w:p>
    <w:p w:rsidR="00000000" w:rsidRPr="00EF313F" w:rsidP="00EF313F">
      <w:pPr>
        <w:pStyle w:val="ListBullet"/>
      </w:pPr>
      <w:r w:rsidRPr="00EF313F">
        <w:t>removing and refitting components to hydrostatic assembly and selecting replacement parts using manufacturer catalogues and data</w:t>
      </w:r>
    </w:p>
    <w:p w:rsidR="00000000" w:rsidRPr="00EF313F" w:rsidP="00EF313F">
      <w:pPr>
        <w:pStyle w:val="ListBullet"/>
      </w:pPr>
      <w:r w:rsidRPr="00EF313F">
        <w:t>adjusting components using appropriate tools, techniques and equipment</w:t>
      </w:r>
    </w:p>
    <w:p w:rsidR="00000000" w:rsidRPr="00EF313F" w:rsidP="00EF313F">
      <w:pPr>
        <w:pStyle w:val="ListBullet"/>
      </w:pPr>
      <w:r w:rsidRPr="00EF313F">
        <w:t>recording/reporting all service/work activities in accordance with SOPs.</w:t>
      </w:r>
    </w:p>
    <w:p w:rsidR="00000000" w:rsidRPr="00EF313F" w:rsidP="00EF313F">
      <w:pPr>
        <w:pStyle w:val="AllowPageBreak"/>
      </w:pPr>
    </w:p>
    <w:p w:rsidR="00000000" w:rsidRPr="00EF313F" w:rsidP="00EF313F">
      <w:pPr>
        <w:pStyle w:val="Heading1"/>
      </w:pPr>
      <w:bookmarkStart w:id="12" w:name="O_960234"/>
      <w:bookmarkEnd w:id="12"/>
      <w:r w:rsidRPr="00EF313F">
        <w:t>Knowledge Evidence</w:t>
      </w:r>
    </w:p>
    <w:p w:rsidR="00000000" w:rsidRPr="00EF313F" w:rsidP="00A27673">
      <w:pPr>
        <w:pStyle w:val="BodyText"/>
      </w:pPr>
      <w:r w:rsidRPr="00EF313F">
        <w:t>Evidence required to demonstrate the required knowledge for this unit must be relevant to and satisfy the requirements of the elements and performa</w:t>
      </w:r>
      <w:r w:rsidRPr="00EF313F">
        <w:t>nce criteria and include knowledge of:</w:t>
      </w:r>
    </w:p>
    <w:p w:rsidR="00000000" w:rsidRPr="00EF313F" w:rsidP="00EF313F">
      <w:pPr>
        <w:pStyle w:val="ListBullet"/>
      </w:pPr>
      <w:r w:rsidRPr="00EF313F">
        <w:t>safe work practices and procedures and use of personal protective equipment (PPE)</w:t>
      </w:r>
    </w:p>
    <w:p w:rsidR="00000000" w:rsidRPr="00EF313F" w:rsidP="00EF313F">
      <w:pPr>
        <w:pStyle w:val="ListBullet"/>
      </w:pPr>
      <w:r w:rsidRPr="00EF313F">
        <w:t>different pump and motor configurations and their advantages and disadvantages in mobile applications, including:</w:t>
      </w:r>
    </w:p>
    <w:p w:rsidR="00000000" w:rsidRPr="00EF313F" w:rsidP="00EF313F">
      <w:pPr>
        <w:pStyle w:val="ListBullet2"/>
      </w:pPr>
      <w:r w:rsidRPr="00EF313F">
        <w:t>close coupled (moto</w:t>
      </w:r>
      <w:r w:rsidRPr="00EF313F">
        <w:t>r and pump back to back units)</w:t>
      </w:r>
    </w:p>
    <w:p w:rsidR="00000000" w:rsidRPr="00EF313F" w:rsidP="00EF313F">
      <w:pPr>
        <w:pStyle w:val="ListBullet2"/>
      </w:pPr>
      <w:r w:rsidRPr="00EF313F">
        <w:t>split units (separate motor and pump) single and double</w:t>
      </w:r>
    </w:p>
    <w:p w:rsidR="00000000" w:rsidRPr="00EF313F" w:rsidP="00EF313F">
      <w:pPr>
        <w:pStyle w:val="ListBullet2"/>
      </w:pPr>
      <w:r w:rsidRPr="00EF313F">
        <w:t>multiple pump/motor layouts</w:t>
      </w:r>
    </w:p>
    <w:p w:rsidR="00000000" w:rsidRPr="00EF313F" w:rsidP="00EF313F">
      <w:pPr>
        <w:pStyle w:val="ListBullet"/>
      </w:pPr>
      <w:r w:rsidRPr="00EF313F">
        <w:t>method of operation and assembly/disassembly procedures for axial, bent axis and radial pumps</w:t>
      </w:r>
    </w:p>
    <w:p w:rsidR="00000000" w:rsidRPr="00EF313F" w:rsidP="00EF313F">
      <w:pPr>
        <w:pStyle w:val="ListBullet"/>
      </w:pPr>
      <w:r w:rsidRPr="00EF313F">
        <w:t>pump control methods, including:</w:t>
      </w:r>
    </w:p>
    <w:p w:rsidR="00000000" w:rsidRPr="00EF313F" w:rsidP="00EF313F">
      <w:pPr>
        <w:pStyle w:val="ListBullet2"/>
      </w:pPr>
      <w:r w:rsidRPr="00EF313F">
        <w:t xml:space="preserve">mechanical </w:t>
      </w:r>
    </w:p>
    <w:p w:rsidR="00000000" w:rsidRPr="00EF313F" w:rsidP="00EF313F">
      <w:pPr>
        <w:pStyle w:val="ListBullet2"/>
      </w:pPr>
      <w:r w:rsidRPr="00EF313F">
        <w:t xml:space="preserve">mechanical servo </w:t>
      </w:r>
    </w:p>
    <w:p w:rsidR="00000000" w:rsidRPr="00EF313F" w:rsidP="00EF313F">
      <w:pPr>
        <w:pStyle w:val="ListBullet2"/>
      </w:pPr>
      <w:r w:rsidRPr="00EF313F">
        <w:t xml:space="preserve">pilot pressure </w:t>
      </w:r>
    </w:p>
    <w:p w:rsidR="00000000" w:rsidRPr="00EF313F" w:rsidP="00EF313F">
      <w:pPr>
        <w:pStyle w:val="ListBullet2"/>
      </w:pPr>
      <w:r w:rsidRPr="00EF313F">
        <w:t xml:space="preserve">electronic servo </w:t>
      </w:r>
    </w:p>
    <w:p w:rsidR="00000000" w:rsidRPr="00EF313F" w:rsidP="00EF313F">
      <w:pPr>
        <w:pStyle w:val="ListBullet2"/>
      </w:pPr>
      <w:r w:rsidRPr="00EF313F">
        <w:t xml:space="preserve">pressure/limitation and displacement control </w:t>
      </w:r>
    </w:p>
    <w:p w:rsidR="00000000" w:rsidRPr="00EF313F" w:rsidP="00EF313F">
      <w:pPr>
        <w:pStyle w:val="ListBullet"/>
      </w:pPr>
      <w:r w:rsidRPr="00EF313F">
        <w:t>operating principles of charge pumps, including construction, circuitry, case flushing and cooling and heating functions</w:t>
      </w:r>
    </w:p>
    <w:p w:rsidR="00000000" w:rsidRPr="00EF313F" w:rsidP="00EF313F">
      <w:pPr>
        <w:pStyle w:val="ListBullet"/>
      </w:pPr>
      <w:r w:rsidRPr="00EF313F">
        <w:t>functions and types of control valve</w:t>
      </w:r>
      <w:r w:rsidRPr="00EF313F">
        <w:t>s used in hydrostatic/closed circuit systems</w:t>
      </w:r>
    </w:p>
    <w:p w:rsidR="00000000" w:rsidRPr="00EF313F" w:rsidP="00EF313F">
      <w:pPr>
        <w:pStyle w:val="ListBullet"/>
      </w:pPr>
      <w:r w:rsidRPr="00EF313F">
        <w:t>flow amplifiers and functions</w:t>
      </w:r>
    </w:p>
    <w:p w:rsidR="00000000" w:rsidRPr="00EF313F" w:rsidP="00EF313F">
      <w:pPr>
        <w:pStyle w:val="ListBullet"/>
      </w:pPr>
      <w:r w:rsidRPr="00EF313F">
        <w:t>effect of engine speed and performance on hydrostatic system</w:t>
      </w:r>
    </w:p>
    <w:p w:rsidR="00000000" w:rsidRPr="00EF313F" w:rsidP="00EF313F">
      <w:pPr>
        <w:pStyle w:val="ListBullet"/>
      </w:pPr>
      <w:r w:rsidRPr="00EF313F">
        <w:t>methods for checking hydrostatic system components for wear and clearance</w:t>
      </w:r>
    </w:p>
    <w:p w:rsidR="00000000" w:rsidRPr="00EF313F" w:rsidP="00EF313F">
      <w:pPr>
        <w:pStyle w:val="ListBullet"/>
      </w:pPr>
      <w:r w:rsidRPr="00EF313F">
        <w:t>procedures used to remove, refit, adjust and a</w:t>
      </w:r>
      <w:r w:rsidRPr="00EF313F">
        <w:t>lign hydrostatic system components</w:t>
      </w:r>
    </w:p>
    <w:p w:rsidR="00000000" w:rsidRPr="00EF313F" w:rsidP="00EF313F">
      <w:pPr>
        <w:pStyle w:val="ListBullet"/>
      </w:pPr>
      <w:r w:rsidRPr="00EF313F">
        <w:t xml:space="preserve">recording requirements for test and rectification activities </w:t>
      </w:r>
    </w:p>
    <w:p w:rsidR="00000000" w:rsidRPr="00EF313F" w:rsidP="00EF313F">
      <w:pPr>
        <w:pStyle w:val="ListBullet"/>
      </w:pPr>
      <w:r w:rsidRPr="00EF313F">
        <w:t xml:space="preserve">appropriate action to correct the faulty components </w:t>
      </w:r>
    </w:p>
    <w:p w:rsidR="00000000" w:rsidRPr="00EF313F" w:rsidP="00EF313F">
      <w:pPr>
        <w:pStyle w:val="ListBullet"/>
      </w:pPr>
      <w:r w:rsidRPr="00EF313F">
        <w:t xml:space="preserve">test equipment to be used in checking/testing mobile plant hydrostatic systems for correct operation and reasons for selection </w:t>
      </w:r>
    </w:p>
    <w:p w:rsidR="00000000" w:rsidRPr="00EF313F" w:rsidP="00EF313F">
      <w:pPr>
        <w:pStyle w:val="ListBullet"/>
      </w:pPr>
      <w:r w:rsidRPr="00EF313F">
        <w:t>tools, techniques and equipment used in maintaining and repair hydrostatic system assemblies.</w:t>
      </w:r>
    </w:p>
    <w:p w:rsidR="00000000" w:rsidRPr="00EF313F" w:rsidP="00EF313F">
      <w:pPr>
        <w:pStyle w:val="AllowPageBreak"/>
      </w:pPr>
    </w:p>
    <w:p w:rsidR="00000000" w:rsidRPr="00EF313F" w:rsidP="00EF313F">
      <w:pPr>
        <w:pStyle w:val="Heading1"/>
      </w:pPr>
      <w:bookmarkStart w:id="13" w:name="O_960233"/>
      <w:bookmarkEnd w:id="13"/>
      <w:r w:rsidRPr="00EF313F">
        <w:t>Assessment Condit</w:t>
      </w:r>
      <w:r w:rsidRPr="00EF313F">
        <w:t>ions</w:t>
      </w:r>
    </w:p>
    <w:p w:rsidR="00000000" w:rsidRPr="00EF313F" w:rsidP="00EF313F">
      <w:pPr>
        <w:pStyle w:val="ListBullet"/>
      </w:pPr>
      <w:r w:rsidRPr="00EF313F">
        <w:t>Assessors must:</w:t>
      </w:r>
    </w:p>
    <w:p w:rsidR="00000000" w:rsidRPr="00EF313F" w:rsidP="00EF313F">
      <w:pPr>
        <w:pStyle w:val="ListBullet2"/>
      </w:pPr>
      <w:r w:rsidRPr="00EF313F">
        <w:t>have vocational competency in diagnosing and rectifying mobile plant hydrostatic systems at least to the level being assessed with relevant industry knowledge and experience</w:t>
      </w:r>
    </w:p>
    <w:p w:rsidR="00000000" w:rsidRPr="00EF313F" w:rsidP="00EF313F">
      <w:pPr>
        <w:pStyle w:val="ListBullet2"/>
      </w:pPr>
      <w:r w:rsidRPr="00EF313F">
        <w:t xml:space="preserve">satisfy the assessor requirements in the </w:t>
      </w:r>
      <w:r w:rsidRPr="00EF313F">
        <w:rPr>
          <w:rStyle w:val="Emphasis"/>
        </w:rPr>
        <w:t>Standards for Regi</w:t>
      </w:r>
      <w:r w:rsidRPr="00EF313F">
        <w:rPr>
          <w:rStyle w:val="Emphasis"/>
        </w:rPr>
        <w:t xml:space="preserve">stered Training Organisations 2015 </w:t>
      </w:r>
      <w:r w:rsidRPr="00EF313F">
        <w:t xml:space="preserve">or its replacement and comply with the </w:t>
      </w:r>
      <w:r w:rsidRPr="00EF313F">
        <w:rPr>
          <w:rStyle w:val="Emphasis"/>
        </w:rPr>
        <w:t>National Vocational Education and Training Regulator Act 2011</w:t>
      </w:r>
      <w:r w:rsidRPr="00EF313F">
        <w:t>, its replacement or equivalent legislation covering VET regulation in a non-referring state/territory as the case requir</w:t>
      </w:r>
      <w:r w:rsidRPr="00EF313F">
        <w:t>es</w:t>
      </w:r>
    </w:p>
    <w:p w:rsidR="00000000" w:rsidRPr="00EF313F" w:rsidP="00EF313F">
      <w:pPr>
        <w:pStyle w:val="ListBullet"/>
      </w:pPr>
      <w:r w:rsidRPr="00EF313F">
        <w:t>Where possible assessment must occur in operational workplace situations. Where this is not possible or where personal safety or environmental damage are limiting factors, assessment must occur in a sufficiently rigorous simulated environment that refl</w:t>
      </w:r>
      <w:r w:rsidRPr="00EF313F">
        <w:t>ects realistic operational workplace conditions. This must cover all aspects of workplace performance, including environment, task skills, task management skills, contingency management skills and job role environment skills</w:t>
      </w:r>
    </w:p>
    <w:p w:rsidR="00000000" w:rsidRPr="00EF313F" w:rsidP="00EF313F">
      <w:pPr>
        <w:pStyle w:val="ListBullet"/>
      </w:pPr>
      <w:r w:rsidRPr="00EF313F">
        <w:t xml:space="preserve">Conditions for assessment must </w:t>
      </w:r>
      <w:r w:rsidRPr="00EF313F">
        <w:t>include access to all tools, equipment, materials and documentation required, including relevant workplace procedures, product and manufacturing specifications</w:t>
      </w:r>
    </w:p>
    <w:p w:rsidR="00000000" w:rsidRPr="00EF313F" w:rsidP="00EF313F">
      <w:pPr>
        <w:pStyle w:val="ListBullet"/>
      </w:pPr>
      <w:r w:rsidRPr="00EF313F">
        <w:t>Assessment processes and techniques must be appropriate to the language, literacy and numeracy r</w:t>
      </w:r>
      <w:r w:rsidRPr="00EF313F">
        <w:t>equirements of the work being performed and the needs of the candidate.</w:t>
      </w:r>
    </w:p>
    <w:p w:rsidR="00000000" w:rsidRPr="00EF313F" w:rsidP="00EF313F">
      <w:pPr>
        <w:pStyle w:val="AllowPageBreak"/>
      </w:pPr>
    </w:p>
    <w:p w:rsidR="00000000" w:rsidRPr="00EF313F" w:rsidP="00EF313F">
      <w:pPr>
        <w:pStyle w:val="Heading1"/>
      </w:pPr>
      <w:bookmarkStart w:id="14" w:name="O_960231"/>
      <w:bookmarkEnd w:id="14"/>
      <w:r w:rsidRPr="00EF313F">
        <w:t>Links</w:t>
      </w:r>
    </w:p>
    <w:p w:rsidR="00000000" w:rsidRPr="00EF313F" w:rsidP="00A27673">
      <w:pPr>
        <w:pStyle w:val="BodyText"/>
      </w:pPr>
      <w:r w:rsidRPr="00EF313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27573B">
        <w:rPr>
          <w:rStyle w:val="Hyperlink"/>
        </w:rPr>
        <w:t>https://vetnet.gov.au/Pages/TrainingDocs.aspx?q=b7050d37-5fd0-4740-8f7d-3b7a49c10bb2</w:t>
      </w:r>
      <w:r>
        <w:fldChar w:fldCharType="end"/>
      </w:r>
    </w:p>
    <w:p w:rsidR="00000000" w:rsidRPr="00EF313F" w:rsidP="00EF313F"/>
    <w:sectPr w:rsidSect="00EF313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1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13F" w:rsidRPr="00A27673" w:rsidP="00A276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1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673" w:rsidP="00EF31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27673" w:rsidP="00EF313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27673" w:rsidP="00EF313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13F" w:rsidP="00EF313F">
    <w:pPr>
      <w:pStyle w:val="Footer"/>
      <w:framePr w:wrap="around"/>
    </w:pPr>
    <w:r>
      <w:fldChar w:fldCharType="begin"/>
    </w:r>
    <w:r>
      <w:instrText xml:space="preserve"> DOCPROPERTY  Subject  \* MERGEFORMAT </w:instrText>
    </w:r>
    <w:r>
      <w:fldChar w:fldCharType="separate"/>
    </w:r>
    <w:r w:rsidR="00A27673">
      <w:t>Approved</w:t>
    </w:r>
    <w:r w:rsidR="00A27673">
      <w:fldChar w:fldCharType="end"/>
    </w:r>
    <w:r>
      <w:tab/>
      <w:t xml:space="preserve">Page </w:t>
    </w:r>
    <w:r>
      <w:fldChar w:fldCharType="begin"/>
    </w:r>
    <w:r>
      <w:instrText xml:space="preserve"> PAGE  \* Arabic  \* MERGEFORMAT </w:instrText>
    </w:r>
    <w:r>
      <w:fldChar w:fldCharType="separate"/>
    </w:r>
    <w:r w:rsidR="00A2767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27673">
      <w:rPr>
        <w:noProof/>
      </w:rPr>
      <w:t>5</w:t>
    </w:r>
    <w:r>
      <w:rPr>
        <w:noProof/>
      </w:rPr>
      <w:fldChar w:fldCharType="end"/>
    </w:r>
  </w:p>
  <w:p w:rsidR="00EF313F" w:rsidP="00EF313F">
    <w:pPr>
      <w:pStyle w:val="Footer"/>
      <w:framePr w:wrap="around"/>
    </w:pPr>
    <w:r>
      <w:t xml:space="preserve">© Commonwealth of Australia, </w:t>
    </w:r>
    <w:r>
      <w:fldChar w:fldCharType="begin"/>
    </w:r>
    <w:r>
      <w:instrText xml:space="preserve"> DATE  \@ "yyyy"  \* MERGEFORMAT </w:instrText>
    </w:r>
    <w:r>
      <w:fldChar w:fldCharType="separate"/>
    </w:r>
    <w:r w:rsidR="00A27673">
      <w:rPr>
        <w:noProof/>
      </w:rPr>
      <w:t>2025</w:t>
    </w:r>
    <w:r>
      <w:fldChar w:fldCharType="end"/>
    </w:r>
    <w:r>
      <w:tab/>
    </w:r>
    <w:r>
      <w:fldChar w:fldCharType="begin"/>
    </w:r>
    <w:r>
      <w:instrText xml:space="preserve"> DOCPROPERTY  Author  \* MERGEFORMAT </w:instrText>
    </w:r>
    <w:r>
      <w:fldChar w:fldCharType="separate"/>
    </w:r>
    <w:r w:rsidR="00A27673">
      <w:t>Manufacturing Industry Skills Alliance</w:t>
    </w:r>
    <w:r w:rsidR="00A27673">
      <w:fldChar w:fldCharType="end"/>
    </w:r>
  </w:p>
  <w:p w:rsidR="00EF313F" w:rsidP="00EF31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1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6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313F" w:rsidRPr="00A27673" w:rsidP="00A276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1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673" w:rsidRPr="002D2AF8" w:rsidP="00EF313F">
    <w:pPr>
      <w:pStyle w:val="Header"/>
      <w:framePr w:wrap="around"/>
    </w:pPr>
    <w:r>
      <w:fldChar w:fldCharType="begin"/>
    </w:r>
    <w:r>
      <w:instrText xml:space="preserve"> TITLE   \* MERGEFORMAT </w:instrText>
    </w:r>
    <w:r>
      <w:fldChar w:fldCharType="separate"/>
    </w:r>
    <w:r>
      <w:t>MEM27024 Diagnose and rectify mobile plant hydrostatic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27673" w:rsidP="00EF313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13F" w:rsidRPr="002D2AF8" w:rsidP="00EF313F">
    <w:pPr>
      <w:pStyle w:val="Header"/>
      <w:framePr w:wrap="around"/>
    </w:pPr>
    <w:r>
      <w:fldChar w:fldCharType="begin"/>
    </w:r>
    <w:r>
      <w:instrText xml:space="preserve"> TITLE   \* MERGEFORMAT </w:instrText>
    </w:r>
    <w:r>
      <w:fldChar w:fldCharType="separate"/>
    </w:r>
    <w:r w:rsidR="00A27673">
      <w:t>MEM27024 Diagnose and rectify mobile plant hydrostatic systems</w:t>
    </w:r>
    <w:r w:rsidR="00A27673">
      <w:fldChar w:fldCharType="end"/>
    </w:r>
    <w:r>
      <w:tab/>
      <w:t xml:space="preserve">Date this document was generated: </w:t>
    </w:r>
    <w:r>
      <w:fldChar w:fldCharType="begin"/>
    </w:r>
    <w:r>
      <w:instrText xml:space="preserve"> CREATEDATE  \@ "d MMMM yyyy"  \* MERGEFORMAT </w:instrText>
    </w:r>
    <w:r>
      <w:fldChar w:fldCharType="separate"/>
    </w:r>
    <w:r w:rsidR="00A27673">
      <w:rPr>
        <w:noProof/>
      </w:rPr>
      <w:t>2 March 2025</w:t>
    </w:r>
    <w:r>
      <w:fldChar w:fldCharType="end"/>
    </w:r>
  </w:p>
  <w:p w:rsidR="00EF313F" w:rsidP="00EF31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3029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A690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B8BC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31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313F"/>
    <w:pPr>
      <w:spacing w:before="360" w:after="60"/>
      <w:outlineLvl w:val="0"/>
    </w:pPr>
    <w:rPr>
      <w:sz w:val="32"/>
    </w:rPr>
  </w:style>
  <w:style w:type="paragraph" w:styleId="Heading2">
    <w:name w:val="heading 2"/>
    <w:basedOn w:val="HeadingBase"/>
    <w:next w:val="BodyText"/>
    <w:link w:val="Heading2Char"/>
    <w:qFormat/>
    <w:rsid w:val="00EF313F"/>
    <w:pPr>
      <w:keepLines/>
      <w:spacing w:before="240" w:after="120"/>
      <w:outlineLvl w:val="1"/>
    </w:pPr>
    <w:rPr>
      <w:sz w:val="28"/>
      <w:szCs w:val="40"/>
    </w:rPr>
  </w:style>
  <w:style w:type="paragraph" w:styleId="Heading3">
    <w:name w:val="heading 3"/>
    <w:basedOn w:val="HeadingBase"/>
    <w:next w:val="BodyText"/>
    <w:link w:val="Heading3Char"/>
    <w:qFormat/>
    <w:rsid w:val="00EF313F"/>
    <w:pPr>
      <w:spacing w:before="180" w:after="120"/>
      <w:outlineLvl w:val="2"/>
    </w:pPr>
    <w:rPr>
      <w:spacing w:val="-10"/>
      <w:kern w:val="32"/>
    </w:rPr>
  </w:style>
  <w:style w:type="paragraph" w:styleId="Heading4">
    <w:name w:val="heading 4"/>
    <w:basedOn w:val="HeadingBase"/>
    <w:next w:val="BodyText"/>
    <w:link w:val="Heading4Char"/>
    <w:qFormat/>
    <w:rsid w:val="00EF313F"/>
    <w:pPr>
      <w:spacing w:before="160" w:after="120"/>
      <w:outlineLvl w:val="3"/>
    </w:pPr>
    <w:rPr>
      <w:sz w:val="22"/>
    </w:rPr>
  </w:style>
  <w:style w:type="paragraph" w:styleId="Heading5">
    <w:name w:val="heading 5"/>
    <w:basedOn w:val="HeadingBase"/>
    <w:next w:val="Normal"/>
    <w:link w:val="Heading5Char"/>
    <w:qFormat/>
    <w:rsid w:val="00EF313F"/>
    <w:pPr>
      <w:spacing w:before="80"/>
      <w:outlineLvl w:val="4"/>
    </w:pPr>
    <w:rPr>
      <w:color w:val="918585"/>
      <w:sz w:val="20"/>
    </w:rPr>
  </w:style>
  <w:style w:type="paragraph" w:styleId="Heading6">
    <w:name w:val="heading 6"/>
    <w:basedOn w:val="HeadingBase"/>
    <w:next w:val="Normal"/>
    <w:link w:val="Heading6Char"/>
    <w:qFormat/>
    <w:rsid w:val="00EF313F"/>
    <w:pPr>
      <w:spacing w:before="60"/>
      <w:outlineLvl w:val="5"/>
    </w:pPr>
    <w:rPr>
      <w:color w:val="918585"/>
      <w:sz w:val="20"/>
    </w:rPr>
  </w:style>
  <w:style w:type="paragraph" w:styleId="Heading7">
    <w:name w:val="heading 7"/>
    <w:basedOn w:val="Normal"/>
    <w:next w:val="Normal"/>
    <w:link w:val="Heading7Char"/>
    <w:qFormat/>
    <w:rsid w:val="00EF313F"/>
    <w:pPr>
      <w:ind w:left="720"/>
      <w:outlineLvl w:val="6"/>
    </w:pPr>
    <w:rPr>
      <w:i/>
    </w:rPr>
  </w:style>
  <w:style w:type="paragraph" w:styleId="Heading8">
    <w:name w:val="heading 8"/>
    <w:basedOn w:val="Normal"/>
    <w:next w:val="Normal"/>
    <w:link w:val="Heading8Char"/>
    <w:qFormat/>
    <w:rsid w:val="00EF313F"/>
    <w:pPr>
      <w:ind w:left="720"/>
      <w:outlineLvl w:val="7"/>
    </w:pPr>
    <w:rPr>
      <w:i/>
    </w:rPr>
  </w:style>
  <w:style w:type="paragraph" w:styleId="Heading9">
    <w:name w:val="heading 9"/>
    <w:basedOn w:val="Normal"/>
    <w:next w:val="Normal"/>
    <w:link w:val="Heading9Char"/>
    <w:qFormat/>
    <w:rsid w:val="00EF313F"/>
    <w:pPr>
      <w:ind w:left="720"/>
      <w:outlineLvl w:val="8"/>
    </w:pPr>
    <w:rPr>
      <w:i/>
    </w:rPr>
  </w:style>
  <w:style w:type="character" w:default="1" w:styleId="DefaultParagraphFont">
    <w:name w:val="Default Paragraph Font"/>
    <w:uiPriority w:val="1"/>
    <w:unhideWhenUsed/>
    <w:rsid w:val="00EF31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313F"/>
  </w:style>
  <w:style w:type="character" w:customStyle="1" w:styleId="Heading1Char">
    <w:name w:val="Heading 1 Char"/>
    <w:basedOn w:val="DefaultParagraphFont"/>
    <w:link w:val="Heading1"/>
    <w:rsid w:val="00EF313F"/>
    <w:rPr>
      <w:rFonts w:ascii="Times New Roman" w:eastAsia="Times New Roman" w:hAnsi="Times New Roman" w:cs="Times New Roman"/>
      <w:b/>
      <w:sz w:val="32"/>
      <w:szCs w:val="20"/>
      <w:lang w:eastAsia="en-US"/>
    </w:rPr>
  </w:style>
  <w:style w:type="paragraph" w:styleId="BodyText">
    <w:name w:val="Body Text"/>
    <w:basedOn w:val="Normal"/>
    <w:link w:val="BodyTextChar"/>
    <w:rsid w:val="00EF31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313F"/>
    <w:rPr>
      <w:rFonts w:ascii="Times New Roman" w:eastAsia="Times New Roman" w:hAnsi="Times New Roman" w:cs="Times New Roman"/>
      <w:sz w:val="24"/>
      <w:lang w:eastAsia="en-US"/>
    </w:rPr>
  </w:style>
  <w:style w:type="paragraph" w:styleId="ListBullet">
    <w:name w:val="List Bullet"/>
    <w:basedOn w:val="List"/>
    <w:rsid w:val="00EF313F"/>
    <w:pPr>
      <w:numPr>
        <w:numId w:val="12"/>
      </w:numPr>
      <w:tabs>
        <w:tab w:val="clear" w:pos="340"/>
      </w:tabs>
      <w:spacing w:before="40" w:after="40"/>
    </w:pPr>
  </w:style>
  <w:style w:type="character" w:customStyle="1" w:styleId="SpecialBold">
    <w:name w:val="Special Bold"/>
    <w:basedOn w:val="DefaultParagraphFont"/>
    <w:rsid w:val="00EF313F"/>
    <w:rPr>
      <w:b/>
      <w:spacing w:val="0"/>
    </w:rPr>
  </w:style>
  <w:style w:type="paragraph" w:styleId="ListBullet2">
    <w:name w:val="List Bullet 2"/>
    <w:basedOn w:val="List2"/>
    <w:rsid w:val="00EF313F"/>
    <w:pPr>
      <w:numPr>
        <w:numId w:val="13"/>
      </w:numPr>
      <w:tabs>
        <w:tab w:val="clear" w:pos="680"/>
      </w:tabs>
    </w:pPr>
  </w:style>
  <w:style w:type="character" w:styleId="Emphasis">
    <w:name w:val="Emphasis"/>
    <w:basedOn w:val="DefaultParagraphFont"/>
    <w:qFormat/>
    <w:rsid w:val="00EF313F"/>
    <w:rPr>
      <w:i/>
    </w:rPr>
  </w:style>
  <w:style w:type="paragraph" w:customStyle="1" w:styleId="SuperHeading">
    <w:name w:val="SuperHeading"/>
    <w:basedOn w:val="Normal"/>
    <w:rsid w:val="00EF313F"/>
    <w:pPr>
      <w:spacing w:before="240" w:after="120"/>
      <w:outlineLvl w:val="0"/>
    </w:pPr>
    <w:rPr>
      <w:rFonts w:ascii="Times New Roman" w:hAnsi="Times New Roman"/>
      <w:b/>
      <w:sz w:val="32"/>
    </w:rPr>
  </w:style>
  <w:style w:type="paragraph" w:customStyle="1" w:styleId="AllowPageBreak">
    <w:name w:val="AllowPageBreak"/>
    <w:rsid w:val="00EF31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31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31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31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31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31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31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31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313F"/>
    <w:rPr>
      <w:rFonts w:ascii="Courier New" w:eastAsia="Times New Roman" w:hAnsi="Courier New" w:cs="Times New Roman"/>
      <w:i/>
      <w:szCs w:val="20"/>
      <w:lang w:eastAsia="en-US"/>
    </w:rPr>
  </w:style>
  <w:style w:type="paragraph" w:customStyle="1" w:styleId="HeadingBase">
    <w:name w:val="Heading Base"/>
    <w:rsid w:val="00EF31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313F"/>
    <w:pPr>
      <w:tabs>
        <w:tab w:val="right" w:leader="dot" w:pos="9072"/>
      </w:tabs>
      <w:ind w:left="567"/>
    </w:pPr>
    <w:rPr>
      <w:szCs w:val="22"/>
    </w:rPr>
  </w:style>
  <w:style w:type="paragraph" w:customStyle="1" w:styleId="TOCBase">
    <w:name w:val="TOC Base"/>
    <w:rsid w:val="00EF31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313F"/>
    <w:pPr>
      <w:tabs>
        <w:tab w:val="right" w:leader="dot" w:pos="9072"/>
      </w:tabs>
      <w:spacing w:before="40" w:after="40"/>
      <w:ind w:left="284"/>
    </w:pPr>
    <w:rPr>
      <w:rFonts w:ascii="Times New Roman" w:hAnsi="Times New Roman"/>
    </w:rPr>
  </w:style>
  <w:style w:type="paragraph" w:styleId="TOC1">
    <w:name w:val="toc 1"/>
    <w:basedOn w:val="TOCBase"/>
    <w:next w:val="Normal"/>
    <w:rsid w:val="00EF31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31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313F"/>
    <w:rPr>
      <w:rFonts w:ascii="Times New Roman" w:eastAsia="Times New Roman" w:hAnsi="Times New Roman" w:cs="Times New Roman"/>
      <w:sz w:val="16"/>
      <w:lang w:eastAsia="en-US"/>
    </w:rPr>
  </w:style>
  <w:style w:type="paragraph" w:styleId="Title">
    <w:name w:val="Title"/>
    <w:basedOn w:val="HeadingBase"/>
    <w:link w:val="TitleChar"/>
    <w:qFormat/>
    <w:rsid w:val="00EF313F"/>
    <w:pPr>
      <w:spacing w:before="5040"/>
      <w:jc w:val="center"/>
    </w:pPr>
    <w:rPr>
      <w:sz w:val="48"/>
      <w:szCs w:val="72"/>
      <w:lang w:val="en-US"/>
    </w:rPr>
  </w:style>
  <w:style w:type="character" w:customStyle="1" w:styleId="TitleChar">
    <w:name w:val="Title Char"/>
    <w:basedOn w:val="DefaultParagraphFont"/>
    <w:link w:val="Title"/>
    <w:rsid w:val="00EF31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313F"/>
    <w:pPr>
      <w:tabs>
        <w:tab w:val="left" w:pos="3600"/>
        <w:tab w:val="left" w:pos="3958"/>
      </w:tabs>
    </w:pPr>
  </w:style>
  <w:style w:type="paragraph" w:styleId="List">
    <w:name w:val="List"/>
    <w:basedOn w:val="BodyText"/>
    <w:next w:val="BodyText"/>
    <w:rsid w:val="00EF313F"/>
    <w:pPr>
      <w:tabs>
        <w:tab w:val="left" w:pos="340"/>
      </w:tabs>
      <w:spacing w:before="60" w:after="60"/>
      <w:ind w:left="340" w:hanging="340"/>
    </w:pPr>
  </w:style>
  <w:style w:type="paragraph" w:customStyle="1" w:styleId="Note">
    <w:name w:val="Note"/>
    <w:basedOn w:val="BodyText"/>
    <w:rsid w:val="00EF31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313F"/>
    <w:pPr>
      <w:framePr w:wrap="auto" w:hAnchor="text" w:y="6049"/>
    </w:pPr>
    <w:rPr>
      <w:color w:val="000000"/>
      <w:sz w:val="40"/>
    </w:rPr>
  </w:style>
  <w:style w:type="paragraph" w:customStyle="1" w:styleId="TOCTitle">
    <w:name w:val="TOCTitle"/>
    <w:basedOn w:val="Heading1"/>
    <w:rsid w:val="00EF313F"/>
    <w:pPr>
      <w:spacing w:after="240"/>
      <w:jc w:val="center"/>
      <w:outlineLvl w:val="9"/>
    </w:pPr>
    <w:rPr>
      <w:caps/>
    </w:rPr>
  </w:style>
  <w:style w:type="paragraph" w:customStyle="1" w:styleId="Version">
    <w:name w:val="Version"/>
    <w:rsid w:val="00EF31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313F"/>
    <w:pPr>
      <w:keepNext w:val="0"/>
      <w:tabs>
        <w:tab w:val="right" w:pos="4176"/>
      </w:tabs>
      <w:ind w:left="198" w:hanging="198"/>
    </w:pPr>
    <w:rPr>
      <w:rFonts w:ascii="Garamond" w:hAnsi="Garamond"/>
    </w:rPr>
  </w:style>
  <w:style w:type="paragraph" w:styleId="IndexHeading">
    <w:name w:val="index heading"/>
    <w:basedOn w:val="Normal"/>
    <w:next w:val="Index1"/>
    <w:semiHidden/>
    <w:rsid w:val="00EF313F"/>
    <w:pPr>
      <w:spacing w:before="120" w:after="120"/>
    </w:pPr>
    <w:rPr>
      <w:rFonts w:ascii="Arial" w:hAnsi="Arial"/>
      <w:b/>
      <w:color w:val="918585"/>
      <w:sz w:val="24"/>
    </w:rPr>
  </w:style>
  <w:style w:type="paragraph" w:styleId="Header">
    <w:name w:val="header"/>
    <w:basedOn w:val="Normal"/>
    <w:link w:val="HeaderChar"/>
    <w:rsid w:val="00EF31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313F"/>
    <w:rPr>
      <w:rFonts w:ascii="Times New Roman" w:eastAsia="Times New Roman" w:hAnsi="Times New Roman" w:cs="Times New Roman"/>
      <w:sz w:val="16"/>
      <w:szCs w:val="20"/>
      <w:lang w:val="en-GB" w:eastAsia="en-US"/>
    </w:rPr>
  </w:style>
  <w:style w:type="paragraph" w:customStyle="1" w:styleId="Chapter">
    <w:name w:val="Chapter"/>
    <w:basedOn w:val="Normal"/>
    <w:rsid w:val="00EF313F"/>
    <w:pPr>
      <w:spacing w:before="240"/>
    </w:pPr>
    <w:rPr>
      <w:rFonts w:ascii="Times New Roman" w:hAnsi="Times New Roman"/>
      <w:smallCaps/>
      <w:spacing w:val="80"/>
      <w:sz w:val="28"/>
    </w:rPr>
  </w:style>
  <w:style w:type="paragraph" w:customStyle="1" w:styleId="InChapter">
    <w:name w:val="InChapter"/>
    <w:basedOn w:val="Heading3"/>
    <w:rsid w:val="00EF313F"/>
    <w:pPr>
      <w:spacing w:after="240"/>
      <w:outlineLvl w:val="9"/>
    </w:pPr>
    <w:rPr>
      <w:noProof/>
    </w:rPr>
  </w:style>
  <w:style w:type="paragraph" w:styleId="Index2">
    <w:name w:val="index 2"/>
    <w:basedOn w:val="Normal"/>
    <w:next w:val="Normal"/>
    <w:semiHidden/>
    <w:rsid w:val="00EF313F"/>
    <w:pPr>
      <w:tabs>
        <w:tab w:val="right" w:pos="4176"/>
      </w:tabs>
      <w:ind w:left="568" w:hanging="284"/>
    </w:pPr>
    <w:rPr>
      <w:rFonts w:ascii="Garamond" w:hAnsi="Garamond"/>
    </w:rPr>
  </w:style>
  <w:style w:type="paragraph" w:customStyle="1" w:styleId="Byline">
    <w:name w:val="Byline"/>
    <w:rsid w:val="00EF31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313F"/>
    <w:pPr>
      <w:tabs>
        <w:tab w:val="clear" w:pos="3600"/>
        <w:tab w:val="clear" w:pos="3958"/>
      </w:tabs>
      <w:jc w:val="right"/>
    </w:pPr>
  </w:style>
  <w:style w:type="paragraph" w:styleId="Caption">
    <w:name w:val="caption"/>
    <w:basedOn w:val="BodyText"/>
    <w:next w:val="Normal"/>
    <w:qFormat/>
    <w:rsid w:val="00EF313F"/>
    <w:pPr>
      <w:framePr w:w="2268" w:hSpace="181" w:vSpace="181" w:wrap="around" w:vAnchor="text" w:hAnchor="page" w:x="1135" w:y="285" w:anchorLock="1"/>
    </w:pPr>
    <w:rPr>
      <w:i/>
    </w:rPr>
  </w:style>
  <w:style w:type="paragraph" w:customStyle="1" w:styleId="MiniTOCTitle">
    <w:name w:val="MiniTOCTitle"/>
    <w:basedOn w:val="Heading4"/>
    <w:rsid w:val="00EF313F"/>
    <w:pPr>
      <w:spacing w:before="240"/>
      <w:outlineLvl w:val="9"/>
    </w:pPr>
    <w:rPr>
      <w:noProof/>
      <w:sz w:val="24"/>
    </w:rPr>
  </w:style>
  <w:style w:type="paragraph" w:customStyle="1" w:styleId="MiniTOCItem">
    <w:name w:val="MiniTOCItem"/>
    <w:basedOn w:val="ListBullet"/>
    <w:rsid w:val="00EF313F"/>
    <w:pPr>
      <w:numPr>
        <w:numId w:val="0"/>
      </w:numPr>
      <w:tabs>
        <w:tab w:val="right" w:leader="dot" w:pos="6521"/>
      </w:tabs>
      <w:spacing w:before="0" w:after="0"/>
    </w:pPr>
  </w:style>
  <w:style w:type="paragraph" w:customStyle="1" w:styleId="TOFTitle">
    <w:name w:val="TOFTitle"/>
    <w:basedOn w:val="TOCTitle"/>
    <w:rsid w:val="00EF313F"/>
  </w:style>
  <w:style w:type="paragraph" w:styleId="TableofFigures">
    <w:name w:val="table of figures"/>
    <w:basedOn w:val="Normal"/>
    <w:next w:val="Normal"/>
    <w:semiHidden/>
    <w:rsid w:val="00EF313F"/>
    <w:pPr>
      <w:tabs>
        <w:tab w:val="right" w:leader="dot" w:pos="9072"/>
      </w:tabs>
      <w:ind w:left="970" w:hanging="403"/>
    </w:pPr>
    <w:rPr>
      <w:rFonts w:ascii="Times New Roman" w:hAnsi="Times New Roman"/>
      <w:b/>
    </w:rPr>
  </w:style>
  <w:style w:type="paragraph" w:styleId="ListNumber">
    <w:name w:val="List Number"/>
    <w:basedOn w:val="List"/>
    <w:rsid w:val="00EF313F"/>
    <w:pPr>
      <w:numPr>
        <w:numId w:val="15"/>
      </w:numPr>
      <w:tabs>
        <w:tab w:val="clear" w:pos="340"/>
      </w:tabs>
    </w:pPr>
  </w:style>
  <w:style w:type="character" w:customStyle="1" w:styleId="WingdingSymbols">
    <w:name w:val="Wingding Symbols"/>
    <w:rsid w:val="00EF313F"/>
    <w:rPr>
      <w:rFonts w:ascii="Wingdings" w:hAnsi="Wingdings"/>
    </w:rPr>
  </w:style>
  <w:style w:type="paragraph" w:customStyle="1" w:styleId="TableHeading">
    <w:name w:val="Table Heading"/>
    <w:basedOn w:val="HeadingBase"/>
    <w:rsid w:val="00EF313F"/>
    <w:pPr>
      <w:keepLines/>
      <w:pBdr>
        <w:bottom w:val="single" w:sz="6" w:space="1" w:color="918585"/>
      </w:pBdr>
      <w:spacing w:before="240"/>
    </w:pPr>
  </w:style>
  <w:style w:type="character" w:customStyle="1" w:styleId="HotSpot">
    <w:name w:val="HotSpot"/>
    <w:rsid w:val="00EF313F"/>
    <w:rPr>
      <w:color w:val="0033CC"/>
      <w:u w:val="none"/>
    </w:rPr>
  </w:style>
  <w:style w:type="paragraph" w:customStyle="1" w:styleId="BodyTextRight">
    <w:name w:val="Body Text Right"/>
    <w:basedOn w:val="BodyText"/>
    <w:rsid w:val="00EF313F"/>
    <w:pPr>
      <w:spacing w:before="0" w:after="0"/>
      <w:jc w:val="right"/>
    </w:pPr>
  </w:style>
  <w:style w:type="paragraph" w:styleId="Index3">
    <w:name w:val="index 3"/>
    <w:basedOn w:val="ListNumber2"/>
    <w:next w:val="Normal"/>
    <w:semiHidden/>
    <w:rsid w:val="00EF313F"/>
    <w:pPr>
      <w:numPr>
        <w:numId w:val="0"/>
      </w:numPr>
      <w:tabs>
        <w:tab w:val="right" w:leader="dot" w:pos="4176"/>
      </w:tabs>
    </w:pPr>
  </w:style>
  <w:style w:type="paragraph" w:styleId="ListNumber2">
    <w:name w:val="List Number 2"/>
    <w:basedOn w:val="List2"/>
    <w:rsid w:val="00EF313F"/>
    <w:pPr>
      <w:numPr>
        <w:numId w:val="10"/>
      </w:numPr>
      <w:tabs>
        <w:tab w:val="clear" w:pos="1060"/>
      </w:tabs>
    </w:pPr>
  </w:style>
  <w:style w:type="paragraph" w:customStyle="1" w:styleId="MarginNote">
    <w:name w:val="Margin Note"/>
    <w:basedOn w:val="BodyText"/>
    <w:rsid w:val="00EF31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31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31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313F"/>
    <w:rPr>
      <w:sz w:val="32"/>
    </w:rPr>
  </w:style>
  <w:style w:type="paragraph" w:customStyle="1" w:styleId="HeadingProcedure">
    <w:name w:val="Heading Procedure"/>
    <w:basedOn w:val="HeadingBase"/>
    <w:next w:val="Normal"/>
    <w:rsid w:val="00EF313F"/>
    <w:pPr>
      <w:tabs>
        <w:tab w:val="left" w:pos="0"/>
      </w:tabs>
      <w:spacing w:before="120" w:after="60"/>
    </w:pPr>
    <w:rPr>
      <w:i/>
      <w:color w:val="918585"/>
      <w:sz w:val="22"/>
    </w:rPr>
  </w:style>
  <w:style w:type="paragraph" w:customStyle="1" w:styleId="TableBodyText">
    <w:name w:val="Table Body Text"/>
    <w:basedOn w:val="BodyText"/>
    <w:rsid w:val="00EF313F"/>
    <w:pPr>
      <w:spacing w:before="60" w:after="60"/>
    </w:pPr>
  </w:style>
  <w:style w:type="paragraph" w:styleId="ListContinue">
    <w:name w:val="List Continue"/>
    <w:basedOn w:val="List"/>
    <w:rsid w:val="00EF313F"/>
    <w:pPr>
      <w:ind w:firstLine="0"/>
    </w:pPr>
  </w:style>
  <w:style w:type="paragraph" w:customStyle="1" w:styleId="ListNote">
    <w:name w:val="List Note"/>
    <w:basedOn w:val="List"/>
    <w:rsid w:val="00EF313F"/>
    <w:pPr>
      <w:pBdr>
        <w:top w:val="single" w:sz="6" w:space="2" w:color="918585"/>
        <w:bottom w:val="single" w:sz="6" w:space="2" w:color="918585"/>
      </w:pBdr>
      <w:tabs>
        <w:tab w:val="left" w:pos="1021"/>
      </w:tabs>
      <w:ind w:firstLine="0"/>
    </w:pPr>
  </w:style>
  <w:style w:type="paragraph" w:customStyle="1" w:styleId="Warning">
    <w:name w:val="Warning"/>
    <w:basedOn w:val="BodyText"/>
    <w:rsid w:val="00EF313F"/>
    <w:pPr>
      <w:shd w:val="clear" w:color="auto" w:fill="D9D9D9"/>
      <w:tabs>
        <w:tab w:val="left" w:pos="992"/>
      </w:tabs>
      <w:ind w:left="119" w:right="119"/>
    </w:pPr>
    <w:rPr>
      <w:sz w:val="20"/>
    </w:rPr>
  </w:style>
  <w:style w:type="paragraph" w:customStyle="1" w:styleId="MarginIcons">
    <w:name w:val="Margin Icons"/>
    <w:basedOn w:val="BodyText"/>
    <w:rsid w:val="00EF31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313F"/>
    <w:rPr>
      <w:rFonts w:ascii="Courier New" w:hAnsi="Courier New"/>
    </w:rPr>
  </w:style>
  <w:style w:type="paragraph" w:customStyle="1" w:styleId="NoteBullet">
    <w:name w:val="Note Bullet"/>
    <w:basedOn w:val="Note"/>
    <w:rsid w:val="00EF313F"/>
    <w:pPr>
      <w:tabs>
        <w:tab w:val="clear" w:pos="680"/>
      </w:tabs>
      <w:spacing w:before="60" w:after="60"/>
    </w:pPr>
  </w:style>
  <w:style w:type="paragraph" w:customStyle="1" w:styleId="SubHeading2">
    <w:name w:val="SubHeading2"/>
    <w:basedOn w:val="HeadingBase"/>
    <w:rsid w:val="00EF313F"/>
    <w:pPr>
      <w:spacing w:before="240" w:after="60"/>
    </w:pPr>
    <w:rPr>
      <w:sz w:val="20"/>
    </w:rPr>
  </w:style>
  <w:style w:type="paragraph" w:customStyle="1" w:styleId="SubHeading1">
    <w:name w:val="SubHeading1"/>
    <w:basedOn w:val="HeadingBase"/>
    <w:rsid w:val="00EF313F"/>
    <w:pPr>
      <w:spacing w:before="240" w:after="60"/>
    </w:pPr>
    <w:rPr>
      <w:color w:val="918585"/>
      <w:sz w:val="22"/>
    </w:rPr>
  </w:style>
  <w:style w:type="paragraph" w:customStyle="1" w:styleId="SideHeading">
    <w:name w:val="Side Heading"/>
    <w:basedOn w:val="HeadingBase"/>
    <w:rsid w:val="00EF31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313F"/>
    <w:pPr>
      <w:tabs>
        <w:tab w:val="num" w:pos="360"/>
      </w:tabs>
    </w:pPr>
  </w:style>
  <w:style w:type="paragraph" w:styleId="PlainText">
    <w:name w:val="Plain Text"/>
    <w:basedOn w:val="Normal"/>
    <w:link w:val="PlainTextChar"/>
    <w:rsid w:val="00EF313F"/>
    <w:rPr>
      <w:sz w:val="20"/>
    </w:rPr>
  </w:style>
  <w:style w:type="character" w:customStyle="1" w:styleId="PlainTextChar">
    <w:name w:val="Plain Text Char"/>
    <w:basedOn w:val="DefaultParagraphFont"/>
    <w:link w:val="PlainText"/>
    <w:rsid w:val="00EF313F"/>
    <w:rPr>
      <w:rFonts w:ascii="Courier New" w:eastAsia="Times New Roman" w:hAnsi="Courier New" w:cs="Times New Roman"/>
      <w:sz w:val="20"/>
      <w:szCs w:val="20"/>
      <w:lang w:eastAsia="en-US"/>
    </w:rPr>
  </w:style>
  <w:style w:type="character" w:customStyle="1" w:styleId="MenuOption">
    <w:name w:val="Menu Option"/>
    <w:basedOn w:val="DefaultParagraphFont"/>
    <w:rsid w:val="00EF313F"/>
    <w:rPr>
      <w:b/>
      <w:smallCaps/>
    </w:rPr>
  </w:style>
  <w:style w:type="paragraph" w:customStyle="1" w:styleId="TableListNumber">
    <w:name w:val="Table List Number"/>
    <w:basedOn w:val="ListNumber"/>
    <w:rsid w:val="00EF313F"/>
    <w:pPr>
      <w:numPr>
        <w:numId w:val="0"/>
      </w:numPr>
    </w:pPr>
  </w:style>
  <w:style w:type="paragraph" w:styleId="TOC4">
    <w:name w:val="toc 4"/>
    <w:basedOn w:val="TOCBase"/>
    <w:next w:val="Normal"/>
    <w:semiHidden/>
    <w:rsid w:val="00EF313F"/>
    <w:pPr>
      <w:tabs>
        <w:tab w:val="right" w:leader="dot" w:pos="9071"/>
      </w:tabs>
      <w:ind w:left="1701"/>
    </w:pPr>
  </w:style>
  <w:style w:type="paragraph" w:customStyle="1" w:styleId="ListAlpha">
    <w:name w:val="List Alpha"/>
    <w:basedOn w:val="List"/>
    <w:rsid w:val="00EF313F"/>
    <w:pPr>
      <w:numPr>
        <w:numId w:val="9"/>
      </w:numPr>
    </w:pPr>
  </w:style>
  <w:style w:type="paragraph" w:customStyle="1" w:styleId="ListAlpha2">
    <w:name w:val="List Alpha 2"/>
    <w:basedOn w:val="List2"/>
    <w:rsid w:val="00EF313F"/>
    <w:pPr>
      <w:numPr>
        <w:numId w:val="8"/>
      </w:numPr>
    </w:pPr>
  </w:style>
  <w:style w:type="paragraph" w:styleId="List2">
    <w:name w:val="List 2"/>
    <w:basedOn w:val="BodyText"/>
    <w:rsid w:val="00EF313F"/>
    <w:pPr>
      <w:tabs>
        <w:tab w:val="left" w:pos="680"/>
      </w:tabs>
      <w:spacing w:before="60" w:after="60"/>
      <w:ind w:left="680" w:hanging="340"/>
    </w:pPr>
  </w:style>
  <w:style w:type="paragraph" w:styleId="List3">
    <w:name w:val="List 3"/>
    <w:basedOn w:val="BodyText"/>
    <w:rsid w:val="00EF313F"/>
    <w:pPr>
      <w:tabs>
        <w:tab w:val="left" w:pos="1021"/>
      </w:tabs>
      <w:spacing w:before="60" w:after="60"/>
      <w:ind w:left="1020" w:hanging="340"/>
    </w:pPr>
  </w:style>
  <w:style w:type="paragraph" w:styleId="List4">
    <w:name w:val="List 4"/>
    <w:basedOn w:val="BodyText"/>
    <w:rsid w:val="00EF313F"/>
    <w:pPr>
      <w:tabs>
        <w:tab w:val="left" w:pos="1361"/>
      </w:tabs>
      <w:spacing w:before="60" w:after="60"/>
      <w:ind w:left="1361" w:hanging="340"/>
    </w:pPr>
  </w:style>
  <w:style w:type="paragraph" w:styleId="List5">
    <w:name w:val="List 5"/>
    <w:basedOn w:val="BodyText"/>
    <w:rsid w:val="00EF313F"/>
    <w:pPr>
      <w:tabs>
        <w:tab w:val="left" w:pos="1701"/>
      </w:tabs>
      <w:spacing w:before="60" w:after="60"/>
      <w:ind w:left="1701" w:hanging="340"/>
    </w:pPr>
  </w:style>
  <w:style w:type="paragraph" w:styleId="ListBullet3">
    <w:name w:val="List Bullet 3"/>
    <w:basedOn w:val="List3"/>
    <w:rsid w:val="00EF313F"/>
    <w:pPr>
      <w:numPr>
        <w:numId w:val="14"/>
      </w:numPr>
      <w:tabs>
        <w:tab w:val="clear" w:pos="1021"/>
      </w:tabs>
      <w:ind w:left="1037" w:hanging="357"/>
    </w:pPr>
  </w:style>
  <w:style w:type="paragraph" w:styleId="ListBullet4">
    <w:name w:val="List Bullet 4"/>
    <w:basedOn w:val="List4"/>
    <w:rsid w:val="00EF313F"/>
    <w:pPr>
      <w:numPr>
        <w:numId w:val="3"/>
      </w:numPr>
      <w:tabs>
        <w:tab w:val="clear" w:pos="1361"/>
      </w:tabs>
    </w:pPr>
  </w:style>
  <w:style w:type="paragraph" w:styleId="ListBullet5">
    <w:name w:val="List Bullet 5"/>
    <w:basedOn w:val="List5"/>
    <w:rsid w:val="00EF313F"/>
    <w:pPr>
      <w:numPr>
        <w:numId w:val="4"/>
      </w:numPr>
    </w:pPr>
  </w:style>
  <w:style w:type="paragraph" w:styleId="ListContinue2">
    <w:name w:val="List Continue 2"/>
    <w:basedOn w:val="List2"/>
    <w:rsid w:val="00EF313F"/>
    <w:pPr>
      <w:ind w:firstLine="0"/>
    </w:pPr>
  </w:style>
  <w:style w:type="paragraph" w:styleId="ListContinue3">
    <w:name w:val="List Continue 3"/>
    <w:basedOn w:val="List3"/>
    <w:rsid w:val="00EF313F"/>
    <w:pPr>
      <w:ind w:left="1021" w:firstLine="0"/>
    </w:pPr>
  </w:style>
  <w:style w:type="paragraph" w:styleId="ListContinue4">
    <w:name w:val="List Continue 4"/>
    <w:basedOn w:val="List4"/>
    <w:rsid w:val="00EF313F"/>
    <w:pPr>
      <w:ind w:firstLine="0"/>
    </w:pPr>
  </w:style>
  <w:style w:type="paragraph" w:styleId="ListContinue5">
    <w:name w:val="List Continue 5"/>
    <w:basedOn w:val="List5"/>
    <w:rsid w:val="00EF313F"/>
    <w:pPr>
      <w:ind w:firstLine="0"/>
    </w:pPr>
  </w:style>
  <w:style w:type="paragraph" w:styleId="ListNumber3">
    <w:name w:val="List Number 3"/>
    <w:basedOn w:val="List3"/>
    <w:rsid w:val="00EF313F"/>
    <w:pPr>
      <w:numPr>
        <w:numId w:val="5"/>
      </w:numPr>
    </w:pPr>
  </w:style>
  <w:style w:type="paragraph" w:styleId="ListNumber4">
    <w:name w:val="List Number 4"/>
    <w:basedOn w:val="List4"/>
    <w:rsid w:val="00EF313F"/>
    <w:pPr>
      <w:numPr>
        <w:numId w:val="6"/>
      </w:numPr>
    </w:pPr>
  </w:style>
  <w:style w:type="paragraph" w:styleId="ListNumber5">
    <w:name w:val="List Number 5"/>
    <w:basedOn w:val="List5"/>
    <w:rsid w:val="00EF313F"/>
    <w:pPr>
      <w:numPr>
        <w:numId w:val="7"/>
      </w:numPr>
    </w:pPr>
  </w:style>
  <w:style w:type="paragraph" w:styleId="BlockText">
    <w:name w:val="Block Text"/>
    <w:basedOn w:val="Normal"/>
    <w:rsid w:val="00EF313F"/>
    <w:pPr>
      <w:spacing w:after="120"/>
      <w:ind w:left="1440" w:right="1440"/>
    </w:pPr>
  </w:style>
  <w:style w:type="character" w:customStyle="1" w:styleId="Subscript">
    <w:name w:val="Subscript"/>
    <w:basedOn w:val="DefaultParagraphFont"/>
    <w:rsid w:val="00EF313F"/>
    <w:rPr>
      <w:sz w:val="16"/>
      <w:vertAlign w:val="subscript"/>
    </w:rPr>
  </w:style>
  <w:style w:type="character" w:customStyle="1" w:styleId="Superscript">
    <w:name w:val="Superscript"/>
    <w:basedOn w:val="DefaultParagraphFont"/>
    <w:rsid w:val="00EF313F"/>
    <w:rPr>
      <w:sz w:val="16"/>
      <w:vertAlign w:val="superscript"/>
    </w:rPr>
  </w:style>
  <w:style w:type="character" w:customStyle="1" w:styleId="Symbols">
    <w:name w:val="Symbols"/>
    <w:basedOn w:val="DefaultParagraphFont"/>
    <w:rsid w:val="00EF313F"/>
    <w:rPr>
      <w:rFonts w:ascii="Symbol" w:hAnsi="Symbol"/>
    </w:rPr>
  </w:style>
  <w:style w:type="character" w:customStyle="1" w:styleId="MenuOptions">
    <w:name w:val="Menu Options"/>
    <w:basedOn w:val="DefaultParagraphFont"/>
    <w:rsid w:val="00EF313F"/>
    <w:rPr>
      <w:rFonts w:ascii="Arial Narrow" w:hAnsi="Arial Narrow"/>
      <w:smallCaps/>
    </w:rPr>
  </w:style>
  <w:style w:type="character" w:customStyle="1" w:styleId="Buttons">
    <w:name w:val="Buttons"/>
    <w:basedOn w:val="DefaultParagraphFont"/>
    <w:rsid w:val="00EF313F"/>
    <w:rPr>
      <w:b/>
    </w:rPr>
  </w:style>
  <w:style w:type="character" w:customStyle="1" w:styleId="Underlined">
    <w:name w:val="Underlined"/>
    <w:basedOn w:val="DefaultParagraphFont"/>
    <w:rsid w:val="00EF313F"/>
    <w:rPr>
      <w:u w:val="single"/>
    </w:rPr>
  </w:style>
  <w:style w:type="paragraph" w:customStyle="1" w:styleId="TableBodyTextRight">
    <w:name w:val="Table Body Text Right"/>
    <w:basedOn w:val="TableBodyText"/>
    <w:rsid w:val="00EF313F"/>
    <w:pPr>
      <w:widowControl w:val="0"/>
      <w:autoSpaceDE w:val="0"/>
      <w:autoSpaceDN w:val="0"/>
      <w:adjustRightInd w:val="0"/>
      <w:jc w:val="right"/>
    </w:pPr>
    <w:rPr>
      <w:rFonts w:cs="Arial"/>
      <w:szCs w:val="18"/>
    </w:rPr>
  </w:style>
  <w:style w:type="paragraph" w:customStyle="1" w:styleId="CopyrightText">
    <w:name w:val="Copyright Text"/>
    <w:basedOn w:val="BodyText"/>
    <w:rsid w:val="00EF313F"/>
    <w:rPr>
      <w:sz w:val="18"/>
    </w:rPr>
  </w:style>
  <w:style w:type="paragraph" w:customStyle="1" w:styleId="BodySmallRight">
    <w:name w:val="Body Small Right"/>
    <w:basedOn w:val="BodyTextRight"/>
    <w:rsid w:val="00EF313F"/>
    <w:rPr>
      <w:sz w:val="18"/>
      <w:szCs w:val="18"/>
    </w:rPr>
  </w:style>
  <w:style w:type="paragraph" w:customStyle="1" w:styleId="MarginEdition">
    <w:name w:val="Margin Edition"/>
    <w:basedOn w:val="MarginNote"/>
    <w:rsid w:val="00EF313F"/>
    <w:pPr>
      <w:spacing w:before="0" w:after="0"/>
    </w:pPr>
    <w:rPr>
      <w:rFonts w:ascii="Times New Roman" w:hAnsi="Times New Roman"/>
      <w:color w:val="999999"/>
    </w:rPr>
  </w:style>
  <w:style w:type="paragraph" w:customStyle="1" w:styleId="Spacer">
    <w:name w:val="Spacer"/>
    <w:basedOn w:val="Normal"/>
    <w:rsid w:val="00EF313F"/>
    <w:rPr>
      <w:sz w:val="2"/>
      <w:szCs w:val="2"/>
    </w:rPr>
  </w:style>
  <w:style w:type="character" w:customStyle="1" w:styleId="Small">
    <w:name w:val="Small"/>
    <w:basedOn w:val="DefaultParagraphFont"/>
    <w:rsid w:val="00EF313F"/>
    <w:rPr>
      <w:sz w:val="16"/>
    </w:rPr>
  </w:style>
  <w:style w:type="paragraph" w:customStyle="1" w:styleId="WideTable">
    <w:name w:val="Wide Table"/>
    <w:basedOn w:val="Normal"/>
    <w:rsid w:val="00EF313F"/>
    <w:pPr>
      <w:ind w:left="-1418"/>
    </w:pPr>
    <w:rPr>
      <w:sz w:val="2"/>
      <w:szCs w:val="2"/>
    </w:rPr>
  </w:style>
  <w:style w:type="character" w:styleId="PageNumber">
    <w:name w:val="page number"/>
    <w:basedOn w:val="DefaultParagraphFont"/>
    <w:rsid w:val="00EF313F"/>
  </w:style>
  <w:style w:type="paragraph" w:styleId="Quote">
    <w:name w:val="Quote"/>
    <w:basedOn w:val="Heading1"/>
    <w:link w:val="QuoteChar"/>
    <w:qFormat/>
    <w:rsid w:val="00EF313F"/>
    <w:rPr>
      <w:b w:val="0"/>
      <w:sz w:val="72"/>
      <w:szCs w:val="72"/>
      <w:lang w:val="en-NZ"/>
    </w:rPr>
  </w:style>
  <w:style w:type="character" w:customStyle="1" w:styleId="QuoteChar">
    <w:name w:val="Quote Char"/>
    <w:basedOn w:val="DefaultParagraphFont"/>
    <w:link w:val="Quote"/>
    <w:rsid w:val="00EF31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313F"/>
    <w:pPr>
      <w:pageBreakBefore/>
    </w:pPr>
  </w:style>
  <w:style w:type="paragraph" w:customStyle="1" w:styleId="Border">
    <w:name w:val="Border"/>
    <w:basedOn w:val="Normal"/>
    <w:qFormat/>
    <w:rsid w:val="00EF31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313F"/>
    <w:rPr>
      <w:b/>
      <w:bCs/>
      <w:i/>
      <w:iCs/>
      <w:color w:val="auto"/>
    </w:rPr>
  </w:style>
  <w:style w:type="paragraph" w:styleId="IntenseQuote">
    <w:name w:val="Intense Quote"/>
    <w:basedOn w:val="Normal"/>
    <w:next w:val="Normal"/>
    <w:link w:val="IntenseQuoteChar"/>
    <w:uiPriority w:val="30"/>
    <w:qFormat/>
    <w:rsid w:val="00EF31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31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313F"/>
    <w:rPr>
      <w:smallCaps/>
      <w:color w:val="auto"/>
      <w:u w:val="single"/>
    </w:rPr>
  </w:style>
  <w:style w:type="character" w:styleId="IntenseReference">
    <w:name w:val="Intense Reference"/>
    <w:basedOn w:val="DefaultParagraphFont"/>
    <w:uiPriority w:val="32"/>
    <w:qFormat/>
    <w:rsid w:val="00EF313F"/>
    <w:rPr>
      <w:b/>
      <w:bCs/>
      <w:smallCaps/>
      <w:color w:val="auto"/>
      <w:spacing w:val="5"/>
      <w:u w:val="single"/>
    </w:rPr>
  </w:style>
  <w:style w:type="paragraph" w:customStyle="1" w:styleId="2ColumnHeading">
    <w:name w:val="2Column Heading"/>
    <w:basedOn w:val="BodyText"/>
    <w:qFormat/>
    <w:rsid w:val="00EF313F"/>
    <w:pPr>
      <w:spacing w:after="60"/>
      <w:ind w:left="-2268"/>
    </w:pPr>
    <w:rPr>
      <w:b/>
    </w:rPr>
  </w:style>
  <w:style w:type="paragraph" w:customStyle="1" w:styleId="Heading1TOC">
    <w:name w:val="Heading1 TOC"/>
    <w:basedOn w:val="Normal"/>
    <w:qFormat/>
    <w:rsid w:val="00EF313F"/>
    <w:pPr>
      <w:spacing w:before="240" w:after="120"/>
    </w:pPr>
    <w:rPr>
      <w:rFonts w:ascii="Times New Roman" w:hAnsi="Times New Roman"/>
      <w:b/>
      <w:sz w:val="32"/>
    </w:rPr>
  </w:style>
  <w:style w:type="paragraph" w:customStyle="1" w:styleId="Heading2TOC">
    <w:name w:val="Heading2 TOC"/>
    <w:basedOn w:val="Normal"/>
    <w:qFormat/>
    <w:rsid w:val="00EF313F"/>
    <w:pPr>
      <w:spacing w:before="240" w:after="60"/>
    </w:pPr>
    <w:rPr>
      <w:rFonts w:ascii="Times New Roman" w:hAnsi="Times New Roman"/>
      <w:b/>
      <w:sz w:val="28"/>
    </w:rPr>
  </w:style>
  <w:style w:type="character" w:customStyle="1" w:styleId="Underline">
    <w:name w:val="Underline"/>
    <w:basedOn w:val="DefaultParagraphFont"/>
    <w:qFormat/>
    <w:rsid w:val="00EF313F"/>
    <w:rPr>
      <w:u w:val="single"/>
    </w:rPr>
  </w:style>
  <w:style w:type="character" w:customStyle="1" w:styleId="BoldandItalics">
    <w:name w:val="Bold and Italics"/>
    <w:qFormat/>
    <w:rsid w:val="00EF313F"/>
    <w:rPr>
      <w:b/>
      <w:i/>
      <w:u w:val="none"/>
    </w:rPr>
  </w:style>
  <w:style w:type="paragraph" w:styleId="BalloonText">
    <w:name w:val="Balloon Text"/>
    <w:basedOn w:val="Normal"/>
    <w:link w:val="BalloonTextChar"/>
    <w:rsid w:val="00EF313F"/>
    <w:rPr>
      <w:rFonts w:ascii="Tahoma" w:hAnsi="Tahoma" w:cs="Tahoma"/>
      <w:sz w:val="16"/>
      <w:szCs w:val="16"/>
    </w:rPr>
  </w:style>
  <w:style w:type="character" w:customStyle="1" w:styleId="BalloonTextChar">
    <w:name w:val="Balloon Text Char"/>
    <w:basedOn w:val="DefaultParagraphFont"/>
    <w:link w:val="BalloonText"/>
    <w:rsid w:val="00EF31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31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31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313F"/>
    <w:rPr>
      <w:b/>
      <w:color w:val="660033"/>
      <w:spacing w:val="0"/>
    </w:rPr>
  </w:style>
  <w:style w:type="paragraph" w:customStyle="1" w:styleId="Nameditemlist">
    <w:name w:val="Named item list"/>
    <w:basedOn w:val="BodyText"/>
    <w:qFormat/>
    <w:rsid w:val="00EF313F"/>
    <w:pPr>
      <w:tabs>
        <w:tab w:val="left" w:pos="2835"/>
      </w:tabs>
      <w:ind w:left="2835" w:hanging="2835"/>
    </w:pPr>
  </w:style>
  <w:style w:type="paragraph" w:customStyle="1" w:styleId="BodyTextnopadding">
    <w:name w:val="Body Text no padding"/>
    <w:basedOn w:val="BodyText"/>
    <w:qFormat/>
    <w:rsid w:val="00EF313F"/>
    <w:pPr>
      <w:spacing w:before="0" w:after="0"/>
    </w:pPr>
  </w:style>
  <w:style w:type="paragraph" w:customStyle="1" w:styleId="BodyTextBold">
    <w:name w:val="Body Text Bold"/>
    <w:basedOn w:val="BodyText"/>
    <w:qFormat/>
    <w:rsid w:val="00EF313F"/>
    <w:rPr>
      <w:b/>
    </w:rPr>
  </w:style>
  <w:style w:type="character" w:styleId="Hyperlink">
    <w:name w:val="Hyperlink"/>
    <w:basedOn w:val="DefaultParagraphFont"/>
    <w:uiPriority w:val="99"/>
    <w:unhideWhenUsed/>
    <w:rsid w:val="00A276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1246</Words>
  <Characters>8275</Characters>
  <Application>Microsoft Office Word</Application>
  <DocSecurity>0</DocSecurity>
  <Lines>295</Lines>
  <Paragraphs>186</Paragraphs>
  <ScaleCrop>false</ScaleCrop>
  <Company>Author-it Software Corporation Ltd.</Company>
  <LinksUpToDate>false</LinksUpToDate>
  <CharactersWithSpaces>9335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MEM27024 Diagnose and rectify mobile plant hydrostatic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2025-03-01T15:45:00Z</dcterms:created>
  <dcterms:modified xsi:type="dcterms:W3CDTF">2025-03-01T15:45:00Z</dcterms:modified>
</cp:coreProperties>
</file>