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054" w:rsidP="00291054">
      <w:pPr>
        <w:pStyle w:val="Title"/>
      </w:pPr>
      <w:r>
        <w:fldChar w:fldCharType="begin"/>
      </w:r>
      <w:r>
        <w:instrText xml:space="preserve"> TITLE   \* MERGEFORMAT </w:instrText>
      </w:r>
      <w:r>
        <w:fldChar w:fldCharType="separate"/>
      </w:r>
      <w:r>
        <w:t>MEM27020 Apply knowledge of large combustion engine operations to service and maintenance tasks</w:t>
      </w:r>
      <w:r>
        <w:fldChar w:fldCharType="end"/>
      </w:r>
    </w:p>
    <w:p w:rsidR="00291054" w:rsidP="00291054">
      <w:pPr>
        <w:pStyle w:val="Version"/>
        <w:sectPr w:rsidSect="00B60C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C11" w:rsidP="00B60C11">
      <w:pPr>
        <w:pStyle w:val="SuperHeading"/>
      </w:pPr>
      <w:r w:rsidRPr="00B60C11">
        <w:t>MEM27020 Apply knowledge of large combustion engine operations to service and maintenance tasks</w:t>
      </w:r>
    </w:p>
    <w:p w:rsidR="00000000" w:rsidRPr="00B60C11" w:rsidP="00B60C11">
      <w:pPr>
        <w:pStyle w:val="Heading1"/>
      </w:pPr>
      <w:bookmarkStart w:id="1" w:name="O_960160"/>
      <w:bookmarkEnd w:id="1"/>
      <w:r w:rsidRPr="00B60C11">
        <w:t>Modification History</w:t>
      </w:r>
    </w:p>
    <w:p w:rsidR="00000000" w:rsidRPr="00B60C11" w:rsidP="00291054">
      <w:pPr>
        <w:pStyle w:val="BodyText"/>
      </w:pPr>
      <w:r w:rsidRPr="00B60C11">
        <w:t>Release 1: New unit</w:t>
      </w:r>
    </w:p>
    <w:p w:rsidR="00000000" w:rsidRPr="00B60C11" w:rsidP="00B60C11">
      <w:pPr>
        <w:pStyle w:val="Heading1"/>
      </w:pPr>
      <w:bookmarkStart w:id="2" w:name="O_960168"/>
      <w:bookmarkEnd w:id="2"/>
      <w:r w:rsidRPr="00B60C11">
        <w:t>Application</w:t>
      </w:r>
    </w:p>
    <w:p w:rsidR="00000000" w:rsidRPr="00B60C11" w:rsidP="00291054">
      <w:pPr>
        <w:pStyle w:val="BodyText"/>
      </w:pPr>
      <w:r w:rsidRPr="00B60C11">
        <w:t>This unit of competency defines the skills and knowledge required to identify engine features and operations essential for large engine servicing and maintenance tasks.</w:t>
      </w:r>
    </w:p>
    <w:p w:rsidR="00000000" w:rsidRPr="00B60C11" w:rsidP="00291054">
      <w:pPr>
        <w:pStyle w:val="BodyText"/>
      </w:pPr>
      <w:r w:rsidRPr="00B60C11">
        <w:t xml:space="preserve">It includes identifying and assessing large combustion engines, the equipment powered </w:t>
      </w:r>
      <w:r w:rsidRPr="00B60C11">
        <w:t>by the engines, and the operations the equipment is required to perform and applying this information to engine service and maintenance tasks.</w:t>
      </w:r>
    </w:p>
    <w:p w:rsidR="00000000" w:rsidRPr="00B60C11" w:rsidP="00291054">
      <w:pPr>
        <w:pStyle w:val="BodyText"/>
      </w:pPr>
      <w:r w:rsidRPr="00B60C11">
        <w:t>No licensing, legislative or certification requirements apply to this unit at the time of publication.</w:t>
      </w:r>
    </w:p>
    <w:p w:rsidR="00000000" w:rsidRPr="00B60C11" w:rsidP="00B60C11">
      <w:pPr>
        <w:pStyle w:val="BodyText"/>
      </w:pPr>
      <w:r w:rsidRPr="00B60C11">
        <w:rPr>
          <w:rStyle w:val="SpecialBold"/>
        </w:rPr>
        <w:t>Band</w:t>
      </w:r>
      <w:r w:rsidRPr="00B60C11">
        <w:t>:</w:t>
      </w:r>
      <w:r w:rsidRPr="00B60C11">
        <w:tab/>
      </w:r>
      <w:r w:rsidRPr="00B60C11">
        <w:rPr>
          <w:rStyle w:val="SpecialBold"/>
        </w:rPr>
        <w:t>A</w:t>
      </w:r>
    </w:p>
    <w:p w:rsidR="00000000" w:rsidRPr="00B60C11" w:rsidP="00B60C11">
      <w:pPr>
        <w:pStyle w:val="BodyText"/>
      </w:pPr>
      <w:r w:rsidRPr="00B60C11">
        <w:rPr>
          <w:rStyle w:val="SpecialBold"/>
        </w:rPr>
        <w:t>Unit Weight</w:t>
      </w:r>
      <w:r w:rsidRPr="00B60C11">
        <w:t>:</w:t>
      </w:r>
      <w:r w:rsidRPr="00B60C11">
        <w:tab/>
      </w:r>
      <w:r w:rsidRPr="00B60C11">
        <w:rPr>
          <w:rStyle w:val="SpecialBold"/>
        </w:rPr>
        <w:t>2</w:t>
      </w:r>
    </w:p>
    <w:p w:rsidR="00000000" w:rsidRPr="00B60C11" w:rsidP="00B60C11">
      <w:pPr>
        <w:pStyle w:val="AllowPageBreak"/>
      </w:pPr>
    </w:p>
    <w:p w:rsidR="00000000" w:rsidRPr="00B60C11" w:rsidP="00B60C11">
      <w:pPr>
        <w:pStyle w:val="Heading1"/>
      </w:pPr>
      <w:bookmarkStart w:id="3" w:name="O_960167"/>
      <w:bookmarkEnd w:id="3"/>
      <w:r w:rsidRPr="00B60C11">
        <w:t>Pre-requisite Unit</w:t>
      </w:r>
    </w:p>
    <w:tbl>
      <w:tblPr>
        <w:tblW w:w="0" w:type="auto"/>
        <w:tblLayout w:type="fixed"/>
        <w:tblCellMar>
          <w:left w:w="62" w:type="dxa"/>
          <w:right w:w="62" w:type="dxa"/>
        </w:tblCellMar>
        <w:tblLook w:val="0000"/>
      </w:tblPr>
      <w:tblGrid>
        <w:gridCol w:w="2185"/>
        <w:gridCol w:w="6957"/>
      </w:tblGrid>
      <w:tr w:rsidTr="00B60C11">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MEM09002</w:t>
            </w:r>
          </w:p>
        </w:tc>
        <w:tc>
          <w:tcPr>
            <w:tcW w:w="6957"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Interpret technical drawing</w:t>
            </w:r>
          </w:p>
        </w:tc>
      </w:tr>
      <w:tr w:rsidTr="00B60C11">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MEM13015</w:t>
            </w:r>
          </w:p>
        </w:tc>
        <w:tc>
          <w:tcPr>
            <w:tcW w:w="6957"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Work safely and effectively in manufacturing and engineering</w:t>
            </w:r>
          </w:p>
        </w:tc>
      </w:tr>
      <w:tr w:rsidTr="00B60C11">
        <w:tblPrEx>
          <w:tblW w:w="0" w:type="auto"/>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MEM16006</w:t>
            </w:r>
          </w:p>
        </w:tc>
        <w:tc>
          <w:tcPr>
            <w:tcW w:w="6957" w:type="dxa"/>
            <w:tcBorders>
              <w:top w:val="nil"/>
              <w:left w:val="nil"/>
              <w:bottom w:val="nil"/>
              <w:right w:val="nil"/>
            </w:tcBorders>
            <w:tcMar>
              <w:top w:w="0" w:type="dxa"/>
              <w:left w:w="62" w:type="dxa"/>
              <w:bottom w:w="0" w:type="dxa"/>
              <w:right w:w="62" w:type="dxa"/>
            </w:tcMar>
          </w:tcPr>
          <w:p w:rsidR="00000000" w:rsidRPr="00B60C11" w:rsidP="00B60C11">
            <w:pPr>
              <w:pStyle w:val="BodyText"/>
            </w:pPr>
            <w:r w:rsidRPr="00B60C11">
              <w:t>Organise and communicate information</w:t>
            </w:r>
          </w:p>
        </w:tc>
      </w:tr>
    </w:tbl>
    <w:p w:rsidR="00000000" w:rsidRPr="00B60C11" w:rsidP="00B60C11">
      <w:pPr>
        <w:pStyle w:val="BodyText"/>
      </w:pPr>
    </w:p>
    <w:p w:rsidR="00000000" w:rsidRPr="00B60C11" w:rsidP="00B60C11">
      <w:pPr>
        <w:pStyle w:val="AllowPageBreak"/>
      </w:pPr>
    </w:p>
    <w:p w:rsidR="00000000" w:rsidRPr="00B60C11" w:rsidP="00B60C11">
      <w:pPr>
        <w:pStyle w:val="Heading1"/>
      </w:pPr>
      <w:bookmarkStart w:id="4" w:name="O_960166"/>
      <w:bookmarkEnd w:id="4"/>
      <w:r w:rsidRPr="00B60C11">
        <w:t>Competency Field</w:t>
      </w:r>
    </w:p>
    <w:p w:rsidR="00000000" w:rsidRPr="00B60C11" w:rsidP="00291054">
      <w:pPr>
        <w:pStyle w:val="BodyText"/>
      </w:pPr>
      <w:r w:rsidRPr="00B60C11">
        <w:t>Fixed and Mobile Plant</w:t>
      </w:r>
    </w:p>
    <w:p w:rsidR="00000000" w:rsidRPr="00B60C11" w:rsidP="00B60C11">
      <w:pPr>
        <w:pStyle w:val="Heading1"/>
      </w:pPr>
      <w:bookmarkStart w:id="5" w:name="O_960164"/>
      <w:bookmarkEnd w:id="5"/>
      <w:r w:rsidRPr="00B60C11">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291054">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Performance criteria describe the performance needed to demonstrate achievement of the element.</w:t>
            </w:r>
          </w:p>
        </w:tc>
      </w:tr>
      <w:tr w:rsidTr="00291054">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B60C11" w:rsidP="00B60C11">
            <w:pPr>
              <w:pStyle w:val="BodyText"/>
            </w:pPr>
            <w:r w:rsidRPr="00B60C11">
              <w:t>1</w:t>
            </w:r>
          </w:p>
          <w:p w:rsidR="00000000" w:rsidRPr="00B60C11">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B60C11" w:rsidP="00B60C11">
            <w:pPr>
              <w:pStyle w:val="BodyText"/>
            </w:pPr>
            <w:r w:rsidRPr="00B60C11">
              <w:rPr>
                <w:rStyle w:val="SpecialBold"/>
              </w:rPr>
              <w:t>Prepare for service and maintenance task</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1.1</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Follow standard operating procedures (SOPs)</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1.2</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Comply with work health and safety (WHS) requirements at all times</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1.3</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Use appropriate personal protective equipment (PPE) in accordance with SOPs</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1.4</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Identify job requirements from specifications, job sheets or work instructions</w:t>
            </w:r>
          </w:p>
        </w:tc>
      </w:tr>
      <w:tr w:rsidTr="00291054">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p>
        </w:tc>
      </w:tr>
      <w:tr w:rsidTr="00291054">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B60C11" w:rsidP="00B60C11">
            <w:pPr>
              <w:pStyle w:val="BodyText"/>
            </w:pPr>
            <w:r w:rsidRPr="00B60C11">
              <w:t>2</w:t>
            </w:r>
          </w:p>
          <w:p w:rsidR="00000000" w:rsidRPr="00B60C11">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B60C11" w:rsidP="00B60C11">
            <w:pPr>
              <w:pStyle w:val="BodyText"/>
            </w:pPr>
            <w:r w:rsidRPr="00B60C11">
              <w:rPr>
                <w:rStyle w:val="SpecialBold"/>
              </w:rPr>
              <w:t>Identify engine type and any special features for relevance to service and maintenance task</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2.1</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Locate sources of information on equipment, engine, systems and components</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2.2</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Identify engine type and configuration</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2.3</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Locate and identify ignition, starting, air, fuel, coolant, exhaust and lubrication system components</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2.4</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 xml:space="preserve">Identify engine components and sensors </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2.5</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Identify fuel, oil and coolant specifications for engine and check against service records</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2.6</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 xml:space="preserve">Identify environmental controls and features </w:t>
            </w:r>
          </w:p>
        </w:tc>
      </w:tr>
      <w:tr w:rsidTr="00291054">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p>
        </w:tc>
      </w:tr>
      <w:tr w:rsidTr="00291054">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B60C11" w:rsidP="00B60C11">
            <w:pPr>
              <w:pStyle w:val="BodyText"/>
            </w:pPr>
            <w:r w:rsidRPr="00B60C11">
              <w:t>3</w:t>
            </w:r>
          </w:p>
          <w:p w:rsidR="00000000" w:rsidRPr="00B60C11">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B60C11" w:rsidP="00B60C11">
            <w:pPr>
              <w:pStyle w:val="BodyText"/>
            </w:pPr>
            <w:r w:rsidRPr="00B60C11">
              <w:rPr>
                <w:rStyle w:val="SpecialBold"/>
              </w:rPr>
              <w:t>Review equipment systems and accessories for relevance to service and maintenance task</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3.1</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Identify equipment systems requiring engine power</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3.2</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Identify other equipment systems and accessories</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3.3</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 xml:space="preserve">Review operator records and service history for information relevant to engine service and maintenance </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3.4</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 xml:space="preserve">Review manufacturer instructions for recommended engine operation </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3.5</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Assess contamination risk to oil, fuel, coolant and lubrication systems</w:t>
            </w:r>
            <w:r w:rsidRPr="00B60C11">
              <w:t xml:space="preserve"> </w:t>
            </w:r>
          </w:p>
        </w:tc>
      </w:tr>
      <w:tr w:rsidTr="00291054">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p>
        </w:tc>
      </w:tr>
      <w:tr w:rsidTr="00291054">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B60C11" w:rsidP="00B60C11">
            <w:pPr>
              <w:pStyle w:val="BodyText"/>
            </w:pPr>
            <w:r w:rsidRPr="00B60C11">
              <w:t>4</w:t>
            </w:r>
          </w:p>
          <w:p w:rsidR="00000000" w:rsidRPr="00B60C11">
            <w:pPr>
              <w:pStyle w:val="BodyText"/>
              <w:keepLines w:val="0"/>
              <w:spacing w:before="0" w:after="0"/>
            </w:pPr>
          </w:p>
        </w:tc>
        <w:tc>
          <w:tcPr>
            <w:tcW w:w="2155" w:type="dxa"/>
            <w:vMerge w:val="restart"/>
            <w:tcBorders>
              <w:top w:val="nil"/>
              <w:left w:val="nil"/>
              <w:bottom w:val="nil"/>
              <w:right w:val="nil"/>
            </w:tcBorders>
            <w:tcMar>
              <w:top w:w="0" w:type="dxa"/>
              <w:left w:w="62" w:type="dxa"/>
              <w:bottom w:w="0" w:type="dxa"/>
              <w:right w:w="62" w:type="dxa"/>
            </w:tcMar>
          </w:tcPr>
          <w:p w:rsidR="00000000" w:rsidRPr="00B60C11" w:rsidP="00B60C11">
            <w:pPr>
              <w:pStyle w:val="BodyText"/>
            </w:pPr>
            <w:r w:rsidRPr="00B60C11">
              <w:rPr>
                <w:rStyle w:val="SpecialBold"/>
              </w:rPr>
              <w:t xml:space="preserve">Confirm or adjust service and </w:t>
            </w:r>
            <w:r w:rsidRPr="00B60C11">
              <w:rPr>
                <w:rStyle w:val="SpecialBold"/>
              </w:rPr>
              <w:t>maintenance job requirement</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4.1</w:t>
            </w:r>
          </w:p>
        </w:tc>
        <w:tc>
          <w:tcPr>
            <w:tcW w:w="6124"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 xml:space="preserve">Review original job specification against results of checks of engine and equipment specifications, service and operator </w:t>
            </w:r>
            <w:r w:rsidRPr="00B60C11">
              <w:t>records</w:t>
            </w:r>
          </w:p>
        </w:tc>
      </w:tr>
      <w:tr w:rsidTr="0029105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4.2</w:t>
            </w:r>
          </w:p>
        </w:tc>
        <w:tc>
          <w:tcPr>
            <w:tcW w:w="6124" w:type="dxa"/>
            <w:tcBorders>
              <w:top w:val="nil"/>
              <w:left w:val="nil"/>
              <w:bottom w:val="nil"/>
              <w:right w:val="nil"/>
            </w:tcBorders>
            <w:tcMar>
              <w:top w:w="0" w:type="dxa"/>
              <w:left w:w="62" w:type="dxa"/>
              <w:bottom w:w="0" w:type="dxa"/>
              <w:right w:w="62" w:type="dxa"/>
            </w:tcMar>
          </w:tcPr>
          <w:p w:rsidR="00000000" w:rsidRPr="00B60C11" w:rsidP="00B60C11">
            <w:pPr>
              <w:pStyle w:val="BodyText"/>
            </w:pPr>
          </w:p>
          <w:p w:rsidR="00000000" w:rsidRPr="00B60C11" w:rsidP="00B60C11">
            <w:pPr>
              <w:pStyle w:val="BodyText"/>
            </w:pPr>
            <w:r w:rsidRPr="00B60C11">
              <w:t xml:space="preserve">Confirm job specification or recommend adjustments </w:t>
            </w:r>
          </w:p>
        </w:tc>
      </w:tr>
    </w:tbl>
    <w:p w:rsidR="00000000" w:rsidRPr="00B60C11" w:rsidP="00B60C11">
      <w:pPr>
        <w:pStyle w:val="BodyText"/>
      </w:pPr>
    </w:p>
    <w:p w:rsidR="00000000" w:rsidRPr="00B60C11" w:rsidP="00B60C11">
      <w:pPr>
        <w:pStyle w:val="AllowPageBreak"/>
      </w:pPr>
    </w:p>
    <w:p w:rsidR="00000000" w:rsidRPr="00B60C11" w:rsidP="00B60C11">
      <w:pPr>
        <w:pStyle w:val="Heading1"/>
      </w:pPr>
      <w:bookmarkStart w:id="6" w:name="O_960163"/>
      <w:bookmarkEnd w:id="6"/>
      <w:r w:rsidRPr="00B60C11">
        <w:t>Foundation Skills</w:t>
      </w:r>
    </w:p>
    <w:p w:rsidR="00000000" w:rsidRPr="00B60C11" w:rsidP="00291054">
      <w:pPr>
        <w:pStyle w:val="BodyText"/>
      </w:pPr>
      <w:r w:rsidRPr="00B60C11">
        <w:t>This section describes those required skills (reading, writing, oral communication and numerac</w:t>
      </w:r>
      <w:r w:rsidRPr="00B60C11">
        <w:t xml:space="preserve">y) that are essential to workplace performance in this unit of competency.  </w:t>
      </w:r>
    </w:p>
    <w:p w:rsidR="00000000" w:rsidRPr="00B60C11" w:rsidP="00291054">
      <w:pPr>
        <w:pStyle w:val="BodyText"/>
      </w:pPr>
      <w:r w:rsidRPr="00B60C11">
        <w:t>Foundation skills essential to performance are explicit in the performance criteria of this unit of competency.</w:t>
      </w:r>
    </w:p>
    <w:p w:rsidR="00000000" w:rsidRPr="00B60C11" w:rsidP="00B60C11">
      <w:pPr>
        <w:pStyle w:val="Heading1"/>
      </w:pPr>
      <w:bookmarkStart w:id="7" w:name="O_960162"/>
      <w:bookmarkEnd w:id="7"/>
      <w:r w:rsidRPr="00B60C11">
        <w:t>Range of Conditions</w:t>
      </w:r>
    </w:p>
    <w:tbl>
      <w:tblPr>
        <w:tblW w:w="0" w:type="auto"/>
        <w:tblLayout w:type="fixed"/>
        <w:tblCellMar>
          <w:left w:w="62" w:type="dxa"/>
          <w:right w:w="62" w:type="dxa"/>
        </w:tblCellMar>
        <w:tblLook w:val="0000"/>
      </w:tblPr>
      <w:tblGrid>
        <w:gridCol w:w="2760"/>
        <w:gridCol w:w="6330"/>
      </w:tblGrid>
      <w:tr w:rsidTr="00B60C11">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t>This field allows for differe</w:t>
            </w:r>
            <w:r w:rsidRPr="00B60C11">
              <w:t>nt work environments and conditions that may affect performance. Essential operating conditions that may be present (depending on the work situation, needs of the candidate, accessibility of the item, and local industry and regional contexts) are included.</w:t>
            </w:r>
          </w:p>
        </w:tc>
      </w:tr>
      <w:tr w:rsidTr="00B60C11">
        <w:tblPrEx>
          <w:tblW w:w="0" w:type="auto"/>
          <w:tblLayout w:type="fixed"/>
          <w:tblCellMar>
            <w:left w:w="62" w:type="dxa"/>
            <w:right w:w="62" w:type="dxa"/>
          </w:tblCellMar>
          <w:tblLook w:val="0000"/>
        </w:tblPrEx>
        <w:trPr>
          <w:trHeight w:val="3446"/>
        </w:trPr>
        <w:tc>
          <w:tcPr>
            <w:tcW w:w="276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rPr>
                <w:rStyle w:val="SpecialBold"/>
              </w:rPr>
              <w:t>The large diesel engines covered by this unit are used in one or more of the following:</w:t>
            </w:r>
          </w:p>
        </w:tc>
        <w:tc>
          <w:tcPr>
            <w:tcW w:w="6330" w:type="dxa"/>
            <w:tcBorders>
              <w:top w:val="nil"/>
              <w:left w:val="nil"/>
              <w:bottom w:val="nil"/>
              <w:right w:val="nil"/>
            </w:tcBorders>
            <w:tcMar>
              <w:top w:w="0" w:type="dxa"/>
              <w:left w:w="62" w:type="dxa"/>
              <w:bottom w:w="0" w:type="dxa"/>
              <w:right w:w="62" w:type="dxa"/>
            </w:tcMar>
          </w:tcPr>
          <w:p w:rsidR="00000000" w:rsidRPr="00B60C11" w:rsidP="00B60C11">
            <w:pPr>
              <w:pStyle w:val="ListBullet"/>
            </w:pPr>
            <w:r w:rsidRPr="00B60C11">
              <w:t>mobile plant</w:t>
            </w:r>
          </w:p>
          <w:p w:rsidR="00000000" w:rsidRPr="00B60C11" w:rsidP="00B60C11">
            <w:pPr>
              <w:pStyle w:val="ListBullet"/>
            </w:pPr>
            <w:r w:rsidRPr="00B60C11">
              <w:t>agriculture</w:t>
            </w:r>
          </w:p>
          <w:p w:rsidR="00000000" w:rsidRPr="00B60C11" w:rsidP="00B60C11">
            <w:pPr>
              <w:pStyle w:val="ListBullet"/>
            </w:pPr>
            <w:r w:rsidRPr="00B60C11">
              <w:t>forestry</w:t>
            </w:r>
          </w:p>
          <w:p w:rsidR="00000000" w:rsidRPr="00B60C11" w:rsidP="00B60C11">
            <w:pPr>
              <w:pStyle w:val="ListBullet"/>
            </w:pPr>
            <w:r w:rsidRPr="00B60C11">
              <w:t>rail</w:t>
            </w:r>
          </w:p>
          <w:p w:rsidR="00000000" w:rsidRPr="00B60C11" w:rsidP="00B60C11">
            <w:pPr>
              <w:pStyle w:val="ListBullet"/>
            </w:pPr>
            <w:r w:rsidRPr="00B60C11">
              <w:t xml:space="preserve">marine </w:t>
            </w:r>
          </w:p>
          <w:p w:rsidR="00000000" w:rsidRPr="00B60C11" w:rsidP="00B60C11">
            <w:pPr>
              <w:pStyle w:val="ListBullet"/>
            </w:pPr>
            <w:r w:rsidRPr="00B60C11">
              <w:t>other transport operations</w:t>
            </w:r>
          </w:p>
          <w:p w:rsidR="00000000" w:rsidRPr="00B60C11" w:rsidP="00B60C11">
            <w:pPr>
              <w:pStyle w:val="ListBullet"/>
            </w:pPr>
            <w:r w:rsidRPr="00B60C11">
              <w:t>power generation</w:t>
            </w:r>
          </w:p>
          <w:p w:rsidR="00000000" w:rsidRPr="00B60C11" w:rsidP="00B60C11">
            <w:pPr>
              <w:pStyle w:val="ListBullet"/>
            </w:pPr>
            <w:r w:rsidRPr="00B60C11">
              <w:t>air and gas compression</w:t>
            </w:r>
          </w:p>
          <w:p w:rsidR="00000000" w:rsidRPr="00B60C11" w:rsidP="00B60C11">
            <w:pPr>
              <w:pStyle w:val="ListBullet"/>
            </w:pPr>
            <w:r w:rsidRPr="00B60C11">
              <w:t>stand by power</w:t>
            </w:r>
          </w:p>
          <w:p w:rsidR="00000000" w:rsidP="00B60C11">
            <w:pPr>
              <w:pStyle w:val="ListBullet"/>
              <w:rPr>
                <w:lang w:val="en-NZ"/>
              </w:rPr>
            </w:pPr>
            <w:r w:rsidRPr="00B60C11">
              <w:t>other industry sectors using large combustion engines</w:t>
            </w:r>
          </w:p>
        </w:tc>
      </w:tr>
      <w:tr w:rsidTr="00B60C11">
        <w:tblPrEx>
          <w:tblW w:w="0" w:type="auto"/>
          <w:tblLayout w:type="fixed"/>
          <w:tblCellMar>
            <w:left w:w="62" w:type="dxa"/>
            <w:right w:w="62" w:type="dxa"/>
          </w:tblCellMar>
          <w:tblLook w:val="0000"/>
        </w:tblPrEx>
        <w:trPr>
          <w:trHeight w:val="2007"/>
        </w:trPr>
        <w:tc>
          <w:tcPr>
            <w:tcW w:w="276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rPr>
                <w:rStyle w:val="SpecialBold"/>
              </w:rPr>
              <w:t>Engine powered equipment systems include one (1) or more of the following:</w:t>
            </w:r>
          </w:p>
        </w:tc>
        <w:tc>
          <w:tcPr>
            <w:tcW w:w="6330" w:type="dxa"/>
            <w:tcBorders>
              <w:top w:val="nil"/>
              <w:left w:val="nil"/>
              <w:bottom w:val="nil"/>
              <w:right w:val="nil"/>
            </w:tcBorders>
            <w:tcMar>
              <w:top w:w="0" w:type="dxa"/>
              <w:left w:w="62" w:type="dxa"/>
              <w:bottom w:w="0" w:type="dxa"/>
              <w:right w:w="62" w:type="dxa"/>
            </w:tcMar>
          </w:tcPr>
          <w:p w:rsidR="00000000" w:rsidRPr="00B60C11" w:rsidP="00B60C11">
            <w:pPr>
              <w:pStyle w:val="ListBullet"/>
            </w:pPr>
            <w:r w:rsidRPr="00B60C11">
              <w:t>hydraulic and pneumatic systems for accessories</w:t>
            </w:r>
          </w:p>
          <w:p w:rsidR="00000000" w:rsidRPr="00B60C11" w:rsidP="00B60C11">
            <w:pPr>
              <w:pStyle w:val="ListBullet"/>
            </w:pPr>
            <w:r w:rsidRPr="00B60C11">
              <w:t>mechanical and traction drives</w:t>
            </w:r>
          </w:p>
          <w:p w:rsidR="00000000" w:rsidRPr="00B60C11" w:rsidP="00B60C11">
            <w:pPr>
              <w:pStyle w:val="ListBullet"/>
            </w:pPr>
            <w:r w:rsidRPr="00B60C11">
              <w:t>alternators and generators</w:t>
            </w:r>
          </w:p>
          <w:p w:rsidR="00000000" w:rsidRPr="00B60C11" w:rsidP="00B60C11">
            <w:pPr>
              <w:pStyle w:val="ListBullet"/>
            </w:pPr>
            <w:r w:rsidRPr="00B60C11">
              <w:t>heating, ventilation, air conditioning and refrigeration HVAC/R equipment</w:t>
            </w:r>
          </w:p>
          <w:p w:rsidR="00000000" w:rsidP="00B60C11">
            <w:pPr>
              <w:pStyle w:val="ListBullet"/>
              <w:rPr>
                <w:lang w:val="en-NZ"/>
              </w:rPr>
            </w:pPr>
            <w:r w:rsidRPr="00B60C11">
              <w:t>air compressors</w:t>
            </w:r>
          </w:p>
        </w:tc>
      </w:tr>
      <w:tr w:rsidTr="00B60C11">
        <w:tblPrEx>
          <w:tblW w:w="0" w:type="auto"/>
          <w:tblLayout w:type="fixed"/>
          <w:tblCellMar>
            <w:left w:w="62" w:type="dxa"/>
            <w:right w:w="62" w:type="dxa"/>
          </w:tblCellMar>
          <w:tblLook w:val="0000"/>
        </w:tblPrEx>
        <w:trPr>
          <w:trHeight w:val="887"/>
        </w:trPr>
        <w:tc>
          <w:tcPr>
            <w:tcW w:w="276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rPr>
                <w:rStyle w:val="SpecialBold"/>
              </w:rPr>
              <w:t>Environmental controls and features include the following:</w:t>
            </w:r>
          </w:p>
        </w:tc>
        <w:tc>
          <w:tcPr>
            <w:tcW w:w="6330" w:type="dxa"/>
            <w:tcBorders>
              <w:top w:val="nil"/>
              <w:left w:val="nil"/>
              <w:bottom w:val="nil"/>
              <w:right w:val="nil"/>
            </w:tcBorders>
            <w:tcMar>
              <w:top w:w="0" w:type="dxa"/>
              <w:left w:w="62" w:type="dxa"/>
              <w:bottom w:w="0" w:type="dxa"/>
              <w:right w:w="62" w:type="dxa"/>
            </w:tcMar>
          </w:tcPr>
          <w:p w:rsidR="00000000" w:rsidP="00B60C11">
            <w:pPr>
              <w:pStyle w:val="ListBullet"/>
              <w:rPr>
                <w:lang w:val="en-NZ"/>
              </w:rPr>
            </w:pPr>
            <w:r w:rsidRPr="00B60C11">
              <w:t>components and systems designed to minimise noise pollution or visual impact of mobile and stationary equ</w:t>
            </w:r>
            <w:r w:rsidRPr="00B60C11">
              <w:t>ipment and engines</w:t>
            </w:r>
          </w:p>
        </w:tc>
      </w:tr>
      <w:tr w:rsidTr="00B60C11">
        <w:tblPrEx>
          <w:tblW w:w="0" w:type="auto"/>
          <w:tblLayout w:type="fixed"/>
          <w:tblCellMar>
            <w:left w:w="62" w:type="dxa"/>
            <w:right w:w="62" w:type="dxa"/>
          </w:tblCellMar>
          <w:tblLook w:val="0000"/>
        </w:tblPrEx>
        <w:trPr>
          <w:trHeight w:val="887"/>
        </w:trPr>
        <w:tc>
          <w:tcPr>
            <w:tcW w:w="2760" w:type="dxa"/>
            <w:tcBorders>
              <w:top w:val="nil"/>
              <w:left w:val="nil"/>
              <w:bottom w:val="nil"/>
              <w:right w:val="nil"/>
            </w:tcBorders>
            <w:tcMar>
              <w:top w:w="0" w:type="dxa"/>
              <w:left w:w="62" w:type="dxa"/>
              <w:bottom w:w="0" w:type="dxa"/>
              <w:right w:w="62" w:type="dxa"/>
            </w:tcMar>
          </w:tcPr>
          <w:p w:rsidR="00000000" w:rsidP="00B60C11">
            <w:pPr>
              <w:pStyle w:val="BodyText"/>
              <w:rPr>
                <w:lang w:val="en-NZ"/>
              </w:rPr>
            </w:pPr>
            <w:r w:rsidRPr="00B60C11">
              <w:rPr>
                <w:rStyle w:val="SpecialBold"/>
              </w:rPr>
              <w:t>Engine consumables include one (1) or more of the following:</w:t>
            </w:r>
          </w:p>
        </w:tc>
        <w:tc>
          <w:tcPr>
            <w:tcW w:w="6330" w:type="dxa"/>
            <w:tcBorders>
              <w:top w:val="nil"/>
              <w:left w:val="nil"/>
              <w:bottom w:val="nil"/>
              <w:right w:val="nil"/>
            </w:tcBorders>
            <w:tcMar>
              <w:top w:w="0" w:type="dxa"/>
              <w:left w:w="62" w:type="dxa"/>
              <w:bottom w:w="0" w:type="dxa"/>
              <w:right w:w="62" w:type="dxa"/>
            </w:tcMar>
          </w:tcPr>
          <w:p w:rsidR="00000000" w:rsidRPr="00B60C11" w:rsidP="00B60C11">
            <w:pPr>
              <w:pStyle w:val="ListBullet"/>
            </w:pPr>
            <w:r w:rsidRPr="00B60C11">
              <w:t>filters</w:t>
            </w:r>
          </w:p>
          <w:p w:rsidR="00000000" w:rsidRPr="00B60C11" w:rsidP="00B60C11">
            <w:pPr>
              <w:pStyle w:val="ListBullet"/>
            </w:pPr>
            <w:r w:rsidRPr="00B60C11">
              <w:t>coolants</w:t>
            </w:r>
          </w:p>
          <w:p w:rsidR="00000000" w:rsidRPr="00B60C11" w:rsidP="00B60C11">
            <w:pPr>
              <w:pStyle w:val="ListBullet"/>
            </w:pPr>
            <w:r w:rsidRPr="00B60C11">
              <w:t>lubricants</w:t>
            </w:r>
          </w:p>
          <w:p w:rsidR="00000000" w:rsidRPr="00B60C11" w:rsidP="00B60C11">
            <w:pPr>
              <w:pStyle w:val="ListBullet"/>
            </w:pPr>
            <w:r w:rsidRPr="00B60C11">
              <w:t>hydraulic and other fluids</w:t>
            </w:r>
          </w:p>
          <w:p w:rsidR="00000000" w:rsidRPr="00B60C11" w:rsidP="00B60C11">
            <w:pPr>
              <w:pStyle w:val="ListBullet"/>
            </w:pPr>
            <w:r w:rsidRPr="00B60C11">
              <w:t>additives</w:t>
            </w:r>
          </w:p>
          <w:p w:rsidR="00000000" w:rsidRPr="00B60C11" w:rsidP="00B60C11">
            <w:pPr>
              <w:pStyle w:val="ListBullet"/>
            </w:pPr>
            <w:r w:rsidRPr="00B60C11">
              <w:t>simple drive belts</w:t>
            </w:r>
          </w:p>
          <w:p w:rsidR="00000000" w:rsidRPr="00B60C11" w:rsidP="00B60C11">
            <w:pPr>
              <w:pStyle w:val="ListBullet"/>
            </w:pPr>
            <w:r w:rsidRPr="00B60C11">
              <w:t>coolant hoses</w:t>
            </w:r>
          </w:p>
        </w:tc>
      </w:tr>
    </w:tbl>
    <w:p w:rsidR="00000000" w:rsidRPr="00B60C11" w:rsidP="00B60C11">
      <w:pPr>
        <w:pStyle w:val="BodyText"/>
      </w:pPr>
    </w:p>
    <w:p w:rsidR="00000000" w:rsidRPr="00B60C11" w:rsidP="00B60C11">
      <w:pPr>
        <w:pStyle w:val="AllowPageBreak"/>
      </w:pPr>
    </w:p>
    <w:p w:rsidR="00000000" w:rsidRPr="00B60C11" w:rsidP="00B60C11">
      <w:pPr>
        <w:pStyle w:val="Heading1"/>
      </w:pPr>
      <w:bookmarkStart w:id="8" w:name="O_960161"/>
      <w:bookmarkEnd w:id="8"/>
      <w:r w:rsidRPr="00B60C11">
        <w:t>Unit Mapping Information</w:t>
      </w:r>
    </w:p>
    <w:p w:rsidR="00000000" w:rsidRPr="00B60C11" w:rsidP="00291054">
      <w:pPr>
        <w:pStyle w:val="BodyText"/>
      </w:pPr>
      <w:r w:rsidRPr="00B60C11">
        <w:t>No equivalent unit.</w:t>
      </w:r>
    </w:p>
    <w:p w:rsidR="00000000" w:rsidRPr="00B60C11" w:rsidP="00B60C11">
      <w:pPr>
        <w:pStyle w:val="Heading1"/>
      </w:pPr>
      <w:bookmarkStart w:id="9" w:name="O_960154"/>
      <w:bookmarkEnd w:id="9"/>
      <w:r w:rsidRPr="00B60C11">
        <w:t>Links</w:t>
      </w:r>
    </w:p>
    <w:p w:rsidR="00000000" w:rsidRPr="00B60C11" w:rsidP="00291054">
      <w:pPr>
        <w:pStyle w:val="BodyText"/>
      </w:pPr>
      <w:r w:rsidRPr="00B60C1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D5896">
        <w:rPr>
          <w:rStyle w:val="Hyperlink"/>
        </w:rPr>
        <w:t>https://vetnet.gov.au/Pages/TrainingDocs.aspx?q=b7050d37-5fd0-4740-8f7d-3b7a49c10bb2</w:t>
      </w:r>
      <w:r>
        <w:fldChar w:fldCharType="end"/>
      </w:r>
    </w:p>
    <w:p w:rsidR="00000000" w:rsidRPr="00B60C11" w:rsidP="00291054">
      <w:pPr>
        <w:pStyle w:val="BodyText"/>
        <w:sectPr w:rsidSect="00B60C11">
          <w:headerReference w:type="default" r:id="rId10"/>
          <w:footerReference w:type="default" r:id="rId11"/>
          <w:pgSz w:w="11908" w:h="16833"/>
          <w:pgMar w:top="1702" w:right="1418" w:bottom="1702" w:left="1418" w:header="992" w:footer="992" w:gutter="0"/>
          <w:cols w:space="720"/>
          <w:noEndnote/>
          <w:docGrid w:linePitch="299"/>
        </w:sectPr>
      </w:pPr>
    </w:p>
    <w:p w:rsidR="00000000" w:rsidRPr="00B60C11" w:rsidP="00B60C11">
      <w:pPr>
        <w:pStyle w:val="SuperHeading"/>
      </w:pPr>
      <w:r w:rsidRPr="00B60C11">
        <w:t xml:space="preserve">Assessment </w:t>
      </w:r>
      <w:r w:rsidRPr="00B60C11">
        <w:t>Requirements for MEM27020 Apply knowledge of large combustion engine operations to service and maintenance tasks</w:t>
      </w:r>
    </w:p>
    <w:p w:rsidR="00000000" w:rsidRPr="00B60C11" w:rsidP="00B60C11">
      <w:pPr>
        <w:pStyle w:val="Heading1"/>
      </w:pPr>
      <w:bookmarkStart w:id="10" w:name="O_960156"/>
      <w:bookmarkEnd w:id="10"/>
      <w:r w:rsidRPr="00B60C11">
        <w:t>Modification History</w:t>
      </w:r>
    </w:p>
    <w:p w:rsidR="00000000" w:rsidRPr="00B60C11" w:rsidP="00291054">
      <w:pPr>
        <w:pStyle w:val="BodyText"/>
      </w:pPr>
      <w:r w:rsidRPr="00B60C11">
        <w:t>Release 1: New unit</w:t>
      </w:r>
    </w:p>
    <w:p w:rsidR="00000000" w:rsidRPr="00B60C11" w:rsidP="00B60C11">
      <w:pPr>
        <w:pStyle w:val="Heading1"/>
      </w:pPr>
      <w:bookmarkStart w:id="11" w:name="O_960159"/>
      <w:bookmarkEnd w:id="11"/>
      <w:r w:rsidRPr="00B60C11">
        <w:t>Performance Evidence</w:t>
      </w:r>
    </w:p>
    <w:p w:rsidR="00000000" w:rsidRPr="00B60C11" w:rsidP="00291054">
      <w:pPr>
        <w:pStyle w:val="BodyText"/>
      </w:pPr>
      <w:r w:rsidRPr="00B60C11">
        <w:t>Evidence required to demonstrate competence in t</w:t>
      </w:r>
      <w:r w:rsidRPr="00B60C11">
        <w:t>his unit must be relevant to and satisfy the requirements of the elements and performance criteria on at least two (2) occasions and include:</w:t>
      </w:r>
    </w:p>
    <w:p w:rsidR="00000000" w:rsidRPr="00B60C11" w:rsidP="00B60C11">
      <w:pPr>
        <w:pStyle w:val="ListBullet"/>
      </w:pPr>
      <w:r w:rsidRPr="00B60C11">
        <w:t xml:space="preserve">following manufacturer and work instructions, standard operating procedures (SOPs) and safe work practices </w:t>
      </w:r>
    </w:p>
    <w:p w:rsidR="00000000" w:rsidRPr="00B60C11" w:rsidP="00B60C11">
      <w:pPr>
        <w:pStyle w:val="ListBullet"/>
      </w:pPr>
      <w:r w:rsidRPr="00B60C11">
        <w:t>ident</w:t>
      </w:r>
      <w:r w:rsidRPr="00B60C11">
        <w:t>ifying appropriate sources of information on engine and equipment</w:t>
      </w:r>
    </w:p>
    <w:p w:rsidR="00000000" w:rsidRPr="00B60C11" w:rsidP="00B60C11">
      <w:pPr>
        <w:pStyle w:val="ListBullet"/>
      </w:pPr>
      <w:r w:rsidRPr="00B60C11">
        <w:t>carrying out classification of large combustion engines from observation, manufacturer instructions and manuals and workplace records, including classification of:</w:t>
      </w:r>
    </w:p>
    <w:p w:rsidR="00000000" w:rsidRPr="00B60C11" w:rsidP="00B60C11">
      <w:pPr>
        <w:pStyle w:val="ListBullet2"/>
      </w:pPr>
      <w:r w:rsidRPr="00B60C11">
        <w:t>engine type</w:t>
      </w:r>
    </w:p>
    <w:p w:rsidR="00000000" w:rsidRPr="00B60C11" w:rsidP="00B60C11">
      <w:pPr>
        <w:pStyle w:val="ListBullet2"/>
      </w:pPr>
      <w:r w:rsidRPr="00B60C11">
        <w:t>engine features</w:t>
      </w:r>
    </w:p>
    <w:p w:rsidR="00000000" w:rsidRPr="00B60C11" w:rsidP="00B60C11">
      <w:pPr>
        <w:pStyle w:val="ListBullet2"/>
      </w:pPr>
      <w:r w:rsidRPr="00B60C11">
        <w:t>engine systems</w:t>
      </w:r>
    </w:p>
    <w:p w:rsidR="00000000" w:rsidRPr="00B60C11" w:rsidP="00B60C11">
      <w:pPr>
        <w:pStyle w:val="ListBullet2"/>
      </w:pPr>
      <w:r w:rsidRPr="00B60C11">
        <w:t>engine components</w:t>
      </w:r>
    </w:p>
    <w:p w:rsidR="00000000" w:rsidRPr="00B60C11" w:rsidP="00B60C11">
      <w:pPr>
        <w:pStyle w:val="ListBullet2"/>
      </w:pPr>
      <w:r w:rsidRPr="00B60C11">
        <w:t>fuel type and fuel system</w:t>
      </w:r>
    </w:p>
    <w:p w:rsidR="00000000" w:rsidRPr="00B60C11" w:rsidP="00B60C11">
      <w:pPr>
        <w:pStyle w:val="ListBullet"/>
      </w:pPr>
      <w:r w:rsidRPr="00B60C11">
        <w:t xml:space="preserve">assessing implications of engine and equipment service history and equipment operational records for service and maintenance tasks </w:t>
      </w:r>
    </w:p>
    <w:p w:rsidR="00000000" w:rsidRPr="00B60C11" w:rsidP="00B60C11">
      <w:pPr>
        <w:pStyle w:val="ListBullet"/>
      </w:pPr>
      <w:r w:rsidRPr="00B60C11">
        <w:t>recording and reporting service activities in ac</w:t>
      </w:r>
      <w:r w:rsidRPr="00B60C11">
        <w:t>cordance with SOPs.</w:t>
      </w:r>
    </w:p>
    <w:p w:rsidR="00000000" w:rsidRPr="00B60C11" w:rsidP="00B60C11">
      <w:pPr>
        <w:pStyle w:val="AllowPageBreak"/>
      </w:pPr>
    </w:p>
    <w:p w:rsidR="00000000" w:rsidRPr="00B60C11" w:rsidP="00B60C11">
      <w:pPr>
        <w:pStyle w:val="Heading1"/>
      </w:pPr>
      <w:bookmarkStart w:id="12" w:name="O_960158"/>
      <w:bookmarkEnd w:id="12"/>
      <w:r w:rsidRPr="00B60C11">
        <w:t>Knowledge Evidence</w:t>
      </w:r>
    </w:p>
    <w:p w:rsidR="00000000" w:rsidRPr="00B60C11" w:rsidP="00291054">
      <w:pPr>
        <w:pStyle w:val="BodyText"/>
      </w:pPr>
      <w:r w:rsidRPr="00B60C11">
        <w:t>Evidence required to demonstrate the required knowledge for this unit must be relevant to and satisfy the requirements of the elements and performance criteria and include knowledge of:</w:t>
      </w:r>
    </w:p>
    <w:p w:rsidR="00000000" w:rsidRPr="00B60C11" w:rsidP="00B60C11">
      <w:pPr>
        <w:pStyle w:val="ListBullet"/>
      </w:pPr>
      <w:r w:rsidRPr="00B60C11">
        <w:t>safe work pra</w:t>
      </w:r>
      <w:r w:rsidRPr="00B60C11">
        <w:t>ctices and procedures and use of personal protective equipment (PPE)</w:t>
      </w:r>
    </w:p>
    <w:p w:rsidR="00000000" w:rsidRPr="00B60C11" w:rsidP="00B60C11">
      <w:pPr>
        <w:pStyle w:val="ListBullet"/>
      </w:pPr>
      <w:r w:rsidRPr="00B60C11">
        <w:t>classification of combustion engines, including:</w:t>
      </w:r>
    </w:p>
    <w:p w:rsidR="00000000" w:rsidRPr="00B60C11" w:rsidP="00B60C11">
      <w:pPr>
        <w:pStyle w:val="ListBullet2"/>
      </w:pPr>
      <w:r w:rsidRPr="00B60C11">
        <w:t>internal and external combustion</w:t>
      </w:r>
    </w:p>
    <w:p w:rsidR="00000000" w:rsidRPr="00B60C11" w:rsidP="00B60C11">
      <w:pPr>
        <w:pStyle w:val="ListBullet2"/>
      </w:pPr>
      <w:r w:rsidRPr="00B60C11">
        <w:t>reciprocating and rotary engines</w:t>
      </w:r>
    </w:p>
    <w:p w:rsidR="00000000" w:rsidRPr="00B60C11" w:rsidP="00B60C11">
      <w:pPr>
        <w:pStyle w:val="ListBullet2"/>
      </w:pPr>
      <w:r w:rsidRPr="00B60C11">
        <w:t>two and four stroke cycles</w:t>
      </w:r>
    </w:p>
    <w:p w:rsidR="00000000" w:rsidRPr="00B60C11" w:rsidP="00B60C11">
      <w:pPr>
        <w:pStyle w:val="ListBullet2"/>
      </w:pPr>
      <w:r w:rsidRPr="00B60C11">
        <w:t>spark ignition and compression ignition</w:t>
      </w:r>
    </w:p>
    <w:p w:rsidR="00000000" w:rsidRPr="00B60C11" w:rsidP="00B60C11">
      <w:pPr>
        <w:pStyle w:val="ListBullet2"/>
      </w:pPr>
      <w:r w:rsidRPr="00B60C11">
        <w:t>turbines</w:t>
      </w:r>
    </w:p>
    <w:p w:rsidR="00000000" w:rsidRPr="00B60C11" w:rsidP="00B60C11">
      <w:pPr>
        <w:pStyle w:val="ListBullet"/>
      </w:pPr>
      <w:r w:rsidRPr="00B60C11">
        <w:t>engine features, including:</w:t>
      </w:r>
    </w:p>
    <w:p w:rsidR="00000000" w:rsidRPr="00B60C11" w:rsidP="00B60C11">
      <w:pPr>
        <w:pStyle w:val="ListBullet2"/>
      </w:pPr>
      <w:r w:rsidRPr="00B60C11">
        <w:t>number and arrangement of cylinders</w:t>
      </w:r>
    </w:p>
    <w:p w:rsidR="00000000" w:rsidRPr="00B60C11" w:rsidP="00B60C11">
      <w:pPr>
        <w:pStyle w:val="ListBullet2"/>
      </w:pPr>
      <w:r w:rsidRPr="00B60C11">
        <w:t>materials used for major components (e.g. steel, aluminium and ceramic)</w:t>
      </w:r>
    </w:p>
    <w:p w:rsidR="00000000" w:rsidRPr="00B60C11" w:rsidP="00B60C11">
      <w:pPr>
        <w:pStyle w:val="ListBullet"/>
      </w:pPr>
      <w:r w:rsidRPr="00B60C11">
        <w:t>fuel types and implications for engine operation and maintenance (e.g. petrol, diesel, diesel/gas, gas (natu</w:t>
      </w:r>
      <w:r w:rsidRPr="00B60C11">
        <w:t>ral gas, biogases and special gases))</w:t>
      </w:r>
    </w:p>
    <w:p w:rsidR="00000000" w:rsidRPr="00B60C11" w:rsidP="00B60C11">
      <w:pPr>
        <w:pStyle w:val="ListBullet2"/>
      </w:pPr>
      <w:r w:rsidRPr="00B60C11">
        <w:t>engine location:</w:t>
      </w:r>
    </w:p>
    <w:p w:rsidR="00000000" w:rsidRPr="00B60C11" w:rsidP="00B60C11">
      <w:pPr>
        <w:pStyle w:val="ListBullet3"/>
      </w:pPr>
      <w:r w:rsidRPr="00B60C11">
        <w:t>front, mid or rear engine</w:t>
      </w:r>
    </w:p>
    <w:p w:rsidR="00000000" w:rsidRPr="00B60C11" w:rsidP="00B60C11">
      <w:pPr>
        <w:pStyle w:val="ListBullet3"/>
      </w:pPr>
      <w:r w:rsidRPr="00B60C11">
        <w:t>longitudinal or transverse engine</w:t>
      </w:r>
    </w:p>
    <w:p w:rsidR="00000000" w:rsidRPr="00B60C11" w:rsidP="00B60C11">
      <w:pPr>
        <w:pStyle w:val="ListBullet2"/>
      </w:pPr>
      <w:r w:rsidRPr="00B60C11">
        <w:t>ignition system, components and firing order</w:t>
      </w:r>
    </w:p>
    <w:p w:rsidR="00000000" w:rsidRPr="00B60C11" w:rsidP="00B60C11">
      <w:pPr>
        <w:pStyle w:val="ListBullet2"/>
      </w:pPr>
      <w:r w:rsidRPr="00B60C11">
        <w:t>operational parameters, including:</w:t>
      </w:r>
    </w:p>
    <w:p w:rsidR="00000000" w:rsidRPr="00B60C11" w:rsidP="00B60C11">
      <w:pPr>
        <w:pStyle w:val="ListBullet3"/>
      </w:pPr>
      <w:r w:rsidRPr="00B60C11">
        <w:t>bore and stroke</w:t>
      </w:r>
    </w:p>
    <w:p w:rsidR="00000000" w:rsidRPr="00B60C11" w:rsidP="00B60C11">
      <w:pPr>
        <w:pStyle w:val="ListBullet3"/>
      </w:pPr>
      <w:r w:rsidRPr="00B60C11">
        <w:t>displacement</w:t>
      </w:r>
    </w:p>
    <w:p w:rsidR="00000000" w:rsidRPr="00B60C11" w:rsidP="00B60C11">
      <w:pPr>
        <w:pStyle w:val="ListBullet3"/>
      </w:pPr>
      <w:r w:rsidRPr="00B60C11">
        <w:t>compression ratio</w:t>
      </w:r>
    </w:p>
    <w:p w:rsidR="00000000" w:rsidRPr="00B60C11" w:rsidP="00B60C11">
      <w:pPr>
        <w:pStyle w:val="ListBullet3"/>
      </w:pPr>
      <w:r w:rsidRPr="00B60C11">
        <w:t xml:space="preserve">efficiency </w:t>
      </w:r>
    </w:p>
    <w:p w:rsidR="00000000" w:rsidRPr="00B60C11" w:rsidP="00B60C11">
      <w:pPr>
        <w:pStyle w:val="ListBullet2"/>
      </w:pPr>
      <w:r w:rsidRPr="00B60C11">
        <w:t>torque, horsepower and brake horsepower</w:t>
      </w:r>
    </w:p>
    <w:p w:rsidR="00000000" w:rsidRPr="00B60C11" w:rsidP="00B60C11">
      <w:pPr>
        <w:pStyle w:val="ListBullet2"/>
      </w:pPr>
      <w:r w:rsidRPr="00B60C11">
        <w:t>cycles of engine operation:</w:t>
      </w:r>
    </w:p>
    <w:p w:rsidR="00000000" w:rsidRPr="00B60C11" w:rsidP="00B60C11">
      <w:pPr>
        <w:pStyle w:val="ListBullet3"/>
      </w:pPr>
      <w:r w:rsidRPr="00B60C11">
        <w:t>intake stroke</w:t>
      </w:r>
    </w:p>
    <w:p w:rsidR="00000000" w:rsidRPr="00B60C11" w:rsidP="00B60C11">
      <w:pPr>
        <w:pStyle w:val="ListBullet3"/>
      </w:pPr>
      <w:r w:rsidRPr="00B60C11">
        <w:t>compression stroke</w:t>
      </w:r>
    </w:p>
    <w:p w:rsidR="00000000" w:rsidRPr="00B60C11" w:rsidP="00B60C11">
      <w:pPr>
        <w:pStyle w:val="ListBullet3"/>
      </w:pPr>
      <w:r w:rsidRPr="00B60C11">
        <w:t>power stroke</w:t>
      </w:r>
    </w:p>
    <w:p w:rsidR="00000000" w:rsidRPr="00B60C11" w:rsidP="00B60C11">
      <w:pPr>
        <w:pStyle w:val="ListBullet3"/>
      </w:pPr>
      <w:r w:rsidRPr="00B60C11">
        <w:t>exhaust stroke</w:t>
      </w:r>
    </w:p>
    <w:p w:rsidR="00000000" w:rsidRPr="00B60C11" w:rsidP="00B60C11">
      <w:pPr>
        <w:pStyle w:val="ListBullet"/>
      </w:pPr>
      <w:r w:rsidRPr="00B60C11">
        <w:t>principles of operation of engine oil, fuel, lubrication and cooling systems, including:</w:t>
      </w:r>
    </w:p>
    <w:p w:rsidR="00000000" w:rsidRPr="00B60C11" w:rsidP="00B60C11">
      <w:pPr>
        <w:pStyle w:val="ListBullet2"/>
      </w:pPr>
      <w:r w:rsidRPr="00B60C11">
        <w:t xml:space="preserve">function of filters </w:t>
      </w:r>
    </w:p>
    <w:p w:rsidR="00000000" w:rsidRPr="00B60C11" w:rsidP="00B60C11">
      <w:pPr>
        <w:pStyle w:val="ListBullet2"/>
      </w:pPr>
      <w:r w:rsidRPr="00B60C11">
        <w:t>purpose of additives and correct proportions to be used</w:t>
      </w:r>
    </w:p>
    <w:p w:rsidR="00000000" w:rsidRPr="00B60C11" w:rsidP="00B60C11">
      <w:pPr>
        <w:pStyle w:val="ListBullet2"/>
      </w:pPr>
      <w:r w:rsidRPr="00B60C11">
        <w:t>symptoms and effects of contamination, abnormal engine operation and extremes of weather</w:t>
      </w:r>
    </w:p>
    <w:p w:rsidR="00000000" w:rsidRPr="00B60C11" w:rsidP="00B60C11">
      <w:pPr>
        <w:pStyle w:val="ListBullet"/>
      </w:pPr>
      <w:r w:rsidRPr="00B60C11">
        <w:t>role and operation of major engine components, including:</w:t>
      </w:r>
    </w:p>
    <w:p w:rsidR="00000000" w:rsidRPr="00B60C11" w:rsidP="00B60C11">
      <w:pPr>
        <w:pStyle w:val="ListBullet2"/>
      </w:pPr>
      <w:r w:rsidRPr="00B60C11">
        <w:t>timing belt or chain</w:t>
      </w:r>
    </w:p>
    <w:p w:rsidR="00000000" w:rsidRPr="00B60C11" w:rsidP="00B60C11">
      <w:pPr>
        <w:pStyle w:val="ListBullet2"/>
      </w:pPr>
      <w:r w:rsidRPr="00B60C11">
        <w:t>camshaft timing pulley</w:t>
      </w:r>
    </w:p>
    <w:p w:rsidR="00000000" w:rsidRPr="00B60C11" w:rsidP="00B60C11">
      <w:pPr>
        <w:pStyle w:val="ListBullet2"/>
      </w:pPr>
      <w:r w:rsidRPr="00B60C11">
        <w:t>camshaf</w:t>
      </w:r>
      <w:r w:rsidRPr="00B60C11">
        <w:t>t single and dual</w:t>
      </w:r>
    </w:p>
    <w:p w:rsidR="00000000" w:rsidRPr="00B60C11" w:rsidP="00B60C11">
      <w:pPr>
        <w:pStyle w:val="ListBullet2"/>
      </w:pPr>
      <w:r w:rsidRPr="00B60C11">
        <w:t>rocker arms and shafts</w:t>
      </w:r>
    </w:p>
    <w:p w:rsidR="00000000" w:rsidRPr="00B60C11" w:rsidP="00B60C11">
      <w:pPr>
        <w:pStyle w:val="ListBullet2"/>
      </w:pPr>
      <w:r w:rsidRPr="00B60C11">
        <w:t>intake valves and springs</w:t>
      </w:r>
    </w:p>
    <w:p w:rsidR="00000000" w:rsidRPr="00B60C11" w:rsidP="00B60C11">
      <w:pPr>
        <w:pStyle w:val="ListBullet2"/>
      </w:pPr>
      <w:r w:rsidRPr="00B60C11">
        <w:t>exhaust valves and springs</w:t>
      </w:r>
    </w:p>
    <w:p w:rsidR="00000000" w:rsidRPr="00B60C11" w:rsidP="00B60C11">
      <w:pPr>
        <w:pStyle w:val="ListBullet2"/>
      </w:pPr>
      <w:r w:rsidRPr="00B60C11">
        <w:t>cylinder head</w:t>
      </w:r>
    </w:p>
    <w:p w:rsidR="00000000" w:rsidRPr="00B60C11" w:rsidP="00B60C11">
      <w:pPr>
        <w:pStyle w:val="ListBullet2"/>
      </w:pPr>
      <w:r w:rsidRPr="00B60C11">
        <w:t>crankshaft and crankshaft pulleys, balancer and balance weights and bearing journals</w:t>
      </w:r>
    </w:p>
    <w:p w:rsidR="00000000" w:rsidRPr="00B60C11" w:rsidP="00B60C11">
      <w:pPr>
        <w:pStyle w:val="ListBullet2"/>
      </w:pPr>
      <w:r w:rsidRPr="00B60C11">
        <w:t>flywheels</w:t>
      </w:r>
    </w:p>
    <w:p w:rsidR="00000000" w:rsidRPr="00B60C11" w:rsidP="00B60C11">
      <w:pPr>
        <w:pStyle w:val="ListBullet2"/>
      </w:pPr>
      <w:r w:rsidRPr="00B60C11">
        <w:t>starter ring gear</w:t>
      </w:r>
    </w:p>
    <w:p w:rsidR="00000000" w:rsidRPr="00B60C11" w:rsidP="00B60C11">
      <w:pPr>
        <w:pStyle w:val="ListBullet2"/>
      </w:pPr>
      <w:r w:rsidRPr="00B60C11">
        <w:t>engine block</w:t>
      </w:r>
    </w:p>
    <w:p w:rsidR="00000000" w:rsidRPr="00B60C11" w:rsidP="00B60C11">
      <w:pPr>
        <w:pStyle w:val="ListBullet2"/>
      </w:pPr>
      <w:r w:rsidRPr="00B60C11">
        <w:t>pistons</w:t>
      </w:r>
    </w:p>
    <w:p w:rsidR="00000000" w:rsidRPr="00B60C11" w:rsidP="00B60C11">
      <w:pPr>
        <w:pStyle w:val="ListBullet2"/>
      </w:pPr>
      <w:r w:rsidRPr="00B60C11">
        <w:t>connect</w:t>
      </w:r>
      <w:r w:rsidRPr="00B60C11">
        <w:t>ing rods</w:t>
      </w:r>
    </w:p>
    <w:p w:rsidR="00000000" w:rsidRPr="00B60C11" w:rsidP="00B60C11">
      <w:pPr>
        <w:pStyle w:val="ListBullet"/>
      </w:pPr>
      <w:r w:rsidRPr="00B60C11">
        <w:t>exhaust system and components.</w:t>
      </w:r>
    </w:p>
    <w:p w:rsidR="00000000" w:rsidRPr="00B60C11" w:rsidP="00B60C11">
      <w:pPr>
        <w:pStyle w:val="AllowPageBreak"/>
      </w:pPr>
    </w:p>
    <w:p w:rsidR="00000000" w:rsidRPr="00B60C11" w:rsidP="00B60C11">
      <w:pPr>
        <w:pStyle w:val="Heading1"/>
      </w:pPr>
      <w:bookmarkStart w:id="13" w:name="O_960157"/>
      <w:bookmarkEnd w:id="13"/>
      <w:r w:rsidRPr="00B60C11">
        <w:t>Assessment Conditions</w:t>
      </w:r>
    </w:p>
    <w:p w:rsidR="00000000" w:rsidRPr="00B60C11" w:rsidP="00B60C11">
      <w:pPr>
        <w:pStyle w:val="ListBullet"/>
      </w:pPr>
      <w:r w:rsidRPr="00B60C11">
        <w:t>Assessors must:</w:t>
      </w:r>
    </w:p>
    <w:p w:rsidR="00000000" w:rsidRPr="00B60C11" w:rsidP="00B60C11">
      <w:pPr>
        <w:pStyle w:val="ListBullet2"/>
      </w:pPr>
      <w:r w:rsidRPr="00B60C11">
        <w:t>have vocational competency in applying knowledge of large combustion engine operations to service and maintenance tasks at least to the level being assessed w</w:t>
      </w:r>
      <w:r w:rsidRPr="00B60C11">
        <w:t>ith relevant industry knowledge and experience</w:t>
      </w:r>
    </w:p>
    <w:p w:rsidR="00000000" w:rsidRPr="00B60C11" w:rsidP="00B60C11">
      <w:pPr>
        <w:pStyle w:val="ListBullet2"/>
      </w:pPr>
      <w:r w:rsidRPr="00B60C11">
        <w:t xml:space="preserve">satisfy the assessor requirements in the </w:t>
      </w:r>
      <w:r w:rsidRPr="00B60C11">
        <w:rPr>
          <w:rStyle w:val="Emphasis"/>
        </w:rPr>
        <w:t xml:space="preserve">Standards for Registered Training Organisations 2015 </w:t>
      </w:r>
      <w:r w:rsidRPr="00B60C11">
        <w:t>or its replacement</w:t>
      </w:r>
      <w:r w:rsidRPr="00B60C11">
        <w:rPr>
          <w:rStyle w:val="Emphasis"/>
        </w:rPr>
        <w:t xml:space="preserve"> </w:t>
      </w:r>
      <w:r w:rsidRPr="00B60C11">
        <w:t xml:space="preserve">and comply with the </w:t>
      </w:r>
      <w:r w:rsidRPr="00B60C11">
        <w:rPr>
          <w:rStyle w:val="Emphasis"/>
        </w:rPr>
        <w:t xml:space="preserve">National Vocational Education and Training Regulator Act 2011, </w:t>
      </w:r>
      <w:r w:rsidRPr="00B60C11">
        <w:t>its replaceme</w:t>
      </w:r>
      <w:r w:rsidRPr="00B60C11">
        <w:t>nt</w:t>
      </w:r>
      <w:r w:rsidRPr="00B60C11">
        <w:rPr>
          <w:rStyle w:val="Emphasis"/>
        </w:rPr>
        <w:t xml:space="preserve"> </w:t>
      </w:r>
      <w:r w:rsidRPr="00B60C11">
        <w:t>or equivalent legislation covering VET regulation in a non-referring state/territory as the case requires</w:t>
      </w:r>
    </w:p>
    <w:p w:rsidR="00000000" w:rsidRPr="00B60C11" w:rsidP="00B60C11">
      <w:pPr>
        <w:pStyle w:val="ListBullet"/>
      </w:pPr>
      <w:r w:rsidRPr="00B60C11">
        <w:t>Where possible assessment must occur in operational workplace situations. Where this is not possible or where personal safety or environmental dam</w:t>
      </w:r>
      <w:r w:rsidRPr="00B60C11">
        <w:t>age are limiting factors, assessment must occur in a sufficiently rigorous simulated environment that reflects realistic operational workplace conditions. This must cover all aspects of workplace performance, including environment, task skills, task manage</w:t>
      </w:r>
      <w:r w:rsidRPr="00B60C11">
        <w:t>ment skills, contingency management skills and job role environment skills</w:t>
      </w:r>
    </w:p>
    <w:p w:rsidR="00000000" w:rsidRPr="00B60C11" w:rsidP="00B60C11">
      <w:pPr>
        <w:pStyle w:val="ListBullet"/>
      </w:pPr>
      <w:r w:rsidRPr="00B60C11">
        <w:t>Conditions for assessment must include access to all tools, equipment, materials and documentation required, including relevant workplace procedures, product and manufacturing speci</w:t>
      </w:r>
      <w:r w:rsidRPr="00B60C11">
        <w:t>fications</w:t>
      </w:r>
    </w:p>
    <w:p w:rsidR="00000000" w:rsidRPr="00B60C11" w:rsidP="00B60C11">
      <w:pPr>
        <w:pStyle w:val="ListBullet"/>
      </w:pPr>
      <w:r w:rsidRPr="00B60C11">
        <w:t>Assessment processes and techniques must be appropriate to the language, literacy and numeracy requirements of the work being performed and the needs of the candidate.</w:t>
      </w:r>
    </w:p>
    <w:p w:rsidR="00000000" w:rsidRPr="00B60C11" w:rsidP="00B60C11">
      <w:pPr>
        <w:pStyle w:val="AllowPageBreak"/>
      </w:pPr>
    </w:p>
    <w:p w:rsidR="00000000" w:rsidRPr="00B60C11" w:rsidP="00B60C11">
      <w:pPr>
        <w:pStyle w:val="Heading1"/>
      </w:pPr>
      <w:bookmarkStart w:id="14" w:name="O_960155"/>
      <w:bookmarkEnd w:id="14"/>
      <w:r w:rsidRPr="00B60C11">
        <w:t>Links</w:t>
      </w:r>
    </w:p>
    <w:p w:rsidR="00000000" w:rsidRPr="00B60C11" w:rsidP="00291054">
      <w:pPr>
        <w:pStyle w:val="BodyText"/>
      </w:pPr>
      <w:r w:rsidRPr="00B60C1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D5896">
        <w:rPr>
          <w:rStyle w:val="Hyperlink"/>
        </w:rPr>
        <w:t>https://vetnet.gov.au/Pages/TrainingDocs.aspx?q=b7050d37-5fd0-4740-8f7d-3b7a49c10bb2</w:t>
      </w:r>
      <w:r>
        <w:fldChar w:fldCharType="end"/>
      </w:r>
    </w:p>
    <w:p w:rsidR="00000000" w:rsidRPr="00B60C11" w:rsidP="00B60C11"/>
    <w:sectPr w:rsidSect="00B60C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11" w:rsidRPr="00291054" w:rsidP="00291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54" w:rsidP="00B60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91054" w:rsidP="00B60C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1054" w:rsidP="00B60C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11" w:rsidP="00B60C11">
    <w:pPr>
      <w:pStyle w:val="Footer"/>
      <w:framePr w:wrap="around"/>
    </w:pPr>
    <w:r>
      <w:fldChar w:fldCharType="begin"/>
    </w:r>
    <w:r>
      <w:instrText xml:space="preserve"> DOCPROPERTY  Subject  \* MERGEFORMAT </w:instrText>
    </w:r>
    <w:r>
      <w:fldChar w:fldCharType="separate"/>
    </w:r>
    <w:r w:rsidR="00291054">
      <w:t>Approved</w:t>
    </w:r>
    <w:r w:rsidR="00291054">
      <w:fldChar w:fldCharType="end"/>
    </w:r>
    <w:r>
      <w:tab/>
      <w:t xml:space="preserve">Page </w:t>
    </w:r>
    <w:r>
      <w:fldChar w:fldCharType="begin"/>
    </w:r>
    <w:r>
      <w:instrText xml:space="preserve"> PAGE  \* Arabic  \* MERGEFORMAT </w:instrText>
    </w:r>
    <w:r>
      <w:fldChar w:fldCharType="separate"/>
    </w:r>
    <w:r w:rsidR="002910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1054">
      <w:rPr>
        <w:noProof/>
      </w:rPr>
      <w:t>6</w:t>
    </w:r>
    <w:r>
      <w:rPr>
        <w:noProof/>
      </w:rPr>
      <w:fldChar w:fldCharType="end"/>
    </w:r>
  </w:p>
  <w:p w:rsidR="00B60C11" w:rsidP="00B60C11">
    <w:pPr>
      <w:pStyle w:val="Footer"/>
      <w:framePr w:wrap="around"/>
    </w:pPr>
    <w:r>
      <w:t xml:space="preserve">© Commonwealth of Australia, </w:t>
    </w:r>
    <w:r>
      <w:fldChar w:fldCharType="begin"/>
    </w:r>
    <w:r>
      <w:instrText xml:space="preserve"> DATE  \@ "yyyy"  \* MERGEFORMAT </w:instrText>
    </w:r>
    <w:r>
      <w:fldChar w:fldCharType="separate"/>
    </w:r>
    <w:r w:rsidR="00291054">
      <w:rPr>
        <w:noProof/>
      </w:rPr>
      <w:t>2025</w:t>
    </w:r>
    <w:r>
      <w:fldChar w:fldCharType="end"/>
    </w:r>
    <w:r>
      <w:tab/>
    </w:r>
    <w:r>
      <w:fldChar w:fldCharType="begin"/>
    </w:r>
    <w:r>
      <w:instrText xml:space="preserve"> DOCPROPERTY  Author  \* MERGEFORMAT </w:instrText>
    </w:r>
    <w:r>
      <w:fldChar w:fldCharType="separate"/>
    </w:r>
    <w:r w:rsidR="00291054">
      <w:t>Manufacturing Industry Skills Alliance</w:t>
    </w:r>
    <w:r w:rsidR="00291054">
      <w:fldChar w:fldCharType="end"/>
    </w:r>
  </w:p>
  <w:p w:rsidR="00B60C11" w:rsidP="00B60C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C11" w:rsidRPr="00291054" w:rsidP="00291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54" w:rsidRPr="002D2AF8" w:rsidP="00B60C11">
    <w:pPr>
      <w:pStyle w:val="Header"/>
      <w:framePr w:wrap="around"/>
    </w:pPr>
    <w:r>
      <w:fldChar w:fldCharType="begin"/>
    </w:r>
    <w:r>
      <w:instrText xml:space="preserve"> TITLE   \* MERGEFORMAT </w:instrText>
    </w:r>
    <w:r>
      <w:fldChar w:fldCharType="separate"/>
    </w:r>
    <w:r>
      <w:t>MEM27020 Apply knowledge of large combustion engine operations to service and maintenance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1054" w:rsidP="00B60C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11" w:rsidRPr="002D2AF8" w:rsidP="00B60C11">
    <w:pPr>
      <w:pStyle w:val="Header"/>
      <w:framePr w:wrap="around"/>
    </w:pPr>
    <w:r>
      <w:fldChar w:fldCharType="begin"/>
    </w:r>
    <w:r>
      <w:instrText xml:space="preserve"> TITLE   \* MERGEFORMAT </w:instrText>
    </w:r>
    <w:r>
      <w:fldChar w:fldCharType="separate"/>
    </w:r>
    <w:r w:rsidR="00291054">
      <w:t>MEM27020 Apply knowledge of large combustion engine operations to service and maintenance tasks</w:t>
    </w:r>
    <w:r w:rsidR="00291054">
      <w:fldChar w:fldCharType="end"/>
    </w:r>
    <w:r>
      <w:tab/>
      <w:t xml:space="preserve">Date this document was generated: </w:t>
    </w:r>
    <w:r>
      <w:fldChar w:fldCharType="begin"/>
    </w:r>
    <w:r>
      <w:instrText xml:space="preserve"> CREATEDATE  \@ "d MMMM yyyy"  \* MERGEFORMAT </w:instrText>
    </w:r>
    <w:r>
      <w:fldChar w:fldCharType="separate"/>
    </w:r>
    <w:r w:rsidR="00291054">
      <w:rPr>
        <w:noProof/>
      </w:rPr>
      <w:t>2 March 2025</w:t>
    </w:r>
    <w:r>
      <w:fldChar w:fldCharType="end"/>
    </w:r>
  </w:p>
  <w:p w:rsidR="00B60C11" w:rsidP="00B60C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929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86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86D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C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C11"/>
    <w:pPr>
      <w:spacing w:before="360" w:after="60"/>
      <w:outlineLvl w:val="0"/>
    </w:pPr>
    <w:rPr>
      <w:sz w:val="32"/>
    </w:rPr>
  </w:style>
  <w:style w:type="paragraph" w:styleId="Heading2">
    <w:name w:val="heading 2"/>
    <w:basedOn w:val="HeadingBase"/>
    <w:next w:val="BodyText"/>
    <w:link w:val="Heading2Char"/>
    <w:qFormat/>
    <w:rsid w:val="00B60C11"/>
    <w:pPr>
      <w:keepLines/>
      <w:spacing w:before="240" w:after="120"/>
      <w:outlineLvl w:val="1"/>
    </w:pPr>
    <w:rPr>
      <w:sz w:val="28"/>
      <w:szCs w:val="40"/>
    </w:rPr>
  </w:style>
  <w:style w:type="paragraph" w:styleId="Heading3">
    <w:name w:val="heading 3"/>
    <w:basedOn w:val="HeadingBase"/>
    <w:next w:val="BodyText"/>
    <w:link w:val="Heading3Char"/>
    <w:qFormat/>
    <w:rsid w:val="00B60C11"/>
    <w:pPr>
      <w:spacing w:before="180" w:after="120"/>
      <w:outlineLvl w:val="2"/>
    </w:pPr>
    <w:rPr>
      <w:spacing w:val="-10"/>
      <w:kern w:val="32"/>
    </w:rPr>
  </w:style>
  <w:style w:type="paragraph" w:styleId="Heading4">
    <w:name w:val="heading 4"/>
    <w:basedOn w:val="HeadingBase"/>
    <w:next w:val="BodyText"/>
    <w:link w:val="Heading4Char"/>
    <w:qFormat/>
    <w:rsid w:val="00B60C11"/>
    <w:pPr>
      <w:spacing w:before="160" w:after="120"/>
      <w:outlineLvl w:val="3"/>
    </w:pPr>
    <w:rPr>
      <w:sz w:val="22"/>
    </w:rPr>
  </w:style>
  <w:style w:type="paragraph" w:styleId="Heading5">
    <w:name w:val="heading 5"/>
    <w:basedOn w:val="HeadingBase"/>
    <w:next w:val="Normal"/>
    <w:link w:val="Heading5Char"/>
    <w:qFormat/>
    <w:rsid w:val="00B60C11"/>
    <w:pPr>
      <w:spacing w:before="80"/>
      <w:outlineLvl w:val="4"/>
    </w:pPr>
    <w:rPr>
      <w:color w:val="918585"/>
      <w:sz w:val="20"/>
    </w:rPr>
  </w:style>
  <w:style w:type="paragraph" w:styleId="Heading6">
    <w:name w:val="heading 6"/>
    <w:basedOn w:val="HeadingBase"/>
    <w:next w:val="Normal"/>
    <w:link w:val="Heading6Char"/>
    <w:qFormat/>
    <w:rsid w:val="00B60C11"/>
    <w:pPr>
      <w:spacing w:before="60"/>
      <w:outlineLvl w:val="5"/>
    </w:pPr>
    <w:rPr>
      <w:color w:val="918585"/>
      <w:sz w:val="20"/>
    </w:rPr>
  </w:style>
  <w:style w:type="paragraph" w:styleId="Heading7">
    <w:name w:val="heading 7"/>
    <w:basedOn w:val="Normal"/>
    <w:next w:val="Normal"/>
    <w:link w:val="Heading7Char"/>
    <w:qFormat/>
    <w:rsid w:val="00B60C11"/>
    <w:pPr>
      <w:ind w:left="720"/>
      <w:outlineLvl w:val="6"/>
    </w:pPr>
    <w:rPr>
      <w:i/>
    </w:rPr>
  </w:style>
  <w:style w:type="paragraph" w:styleId="Heading8">
    <w:name w:val="heading 8"/>
    <w:basedOn w:val="Normal"/>
    <w:next w:val="Normal"/>
    <w:link w:val="Heading8Char"/>
    <w:qFormat/>
    <w:rsid w:val="00B60C11"/>
    <w:pPr>
      <w:ind w:left="720"/>
      <w:outlineLvl w:val="7"/>
    </w:pPr>
    <w:rPr>
      <w:i/>
    </w:rPr>
  </w:style>
  <w:style w:type="paragraph" w:styleId="Heading9">
    <w:name w:val="heading 9"/>
    <w:basedOn w:val="Normal"/>
    <w:next w:val="Normal"/>
    <w:link w:val="Heading9Char"/>
    <w:qFormat/>
    <w:rsid w:val="00B60C11"/>
    <w:pPr>
      <w:ind w:left="720"/>
      <w:outlineLvl w:val="8"/>
    </w:pPr>
    <w:rPr>
      <w:i/>
    </w:rPr>
  </w:style>
  <w:style w:type="character" w:default="1" w:styleId="DefaultParagraphFont">
    <w:name w:val="Default Paragraph Font"/>
    <w:uiPriority w:val="1"/>
    <w:unhideWhenUsed/>
    <w:rsid w:val="00B60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C11"/>
  </w:style>
  <w:style w:type="character" w:customStyle="1" w:styleId="Heading1Char">
    <w:name w:val="Heading 1 Char"/>
    <w:basedOn w:val="DefaultParagraphFont"/>
    <w:link w:val="Heading1"/>
    <w:rsid w:val="00B60C11"/>
    <w:rPr>
      <w:rFonts w:ascii="Times New Roman" w:eastAsia="Times New Roman" w:hAnsi="Times New Roman" w:cs="Times New Roman"/>
      <w:b/>
      <w:sz w:val="32"/>
      <w:szCs w:val="20"/>
      <w:lang w:eastAsia="en-US"/>
    </w:rPr>
  </w:style>
  <w:style w:type="paragraph" w:styleId="BodyText">
    <w:name w:val="Body Text"/>
    <w:basedOn w:val="Normal"/>
    <w:link w:val="BodyTextChar"/>
    <w:rsid w:val="00B60C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C11"/>
    <w:rPr>
      <w:rFonts w:ascii="Times New Roman" w:eastAsia="Times New Roman" w:hAnsi="Times New Roman" w:cs="Times New Roman"/>
      <w:sz w:val="24"/>
      <w:lang w:eastAsia="en-US"/>
    </w:rPr>
  </w:style>
  <w:style w:type="paragraph" w:styleId="ListBullet">
    <w:name w:val="List Bullet"/>
    <w:basedOn w:val="List"/>
    <w:rsid w:val="00B60C11"/>
    <w:pPr>
      <w:numPr>
        <w:numId w:val="13"/>
      </w:numPr>
      <w:tabs>
        <w:tab w:val="clear" w:pos="340"/>
      </w:tabs>
      <w:spacing w:before="40" w:after="40"/>
    </w:pPr>
  </w:style>
  <w:style w:type="character" w:customStyle="1" w:styleId="SpecialBold">
    <w:name w:val="Special Bold"/>
    <w:basedOn w:val="DefaultParagraphFont"/>
    <w:rsid w:val="00B60C11"/>
    <w:rPr>
      <w:b/>
      <w:spacing w:val="0"/>
    </w:rPr>
  </w:style>
  <w:style w:type="paragraph" w:styleId="ListBullet2">
    <w:name w:val="List Bullet 2"/>
    <w:basedOn w:val="List2"/>
    <w:rsid w:val="00B60C11"/>
    <w:pPr>
      <w:numPr>
        <w:numId w:val="14"/>
      </w:numPr>
      <w:tabs>
        <w:tab w:val="clear" w:pos="680"/>
      </w:tabs>
    </w:pPr>
  </w:style>
  <w:style w:type="character" w:styleId="Emphasis">
    <w:name w:val="Emphasis"/>
    <w:basedOn w:val="DefaultParagraphFont"/>
    <w:qFormat/>
    <w:rsid w:val="00B60C11"/>
    <w:rPr>
      <w:i/>
    </w:rPr>
  </w:style>
  <w:style w:type="paragraph" w:customStyle="1" w:styleId="SuperHeading">
    <w:name w:val="SuperHeading"/>
    <w:basedOn w:val="Normal"/>
    <w:rsid w:val="00B60C11"/>
    <w:pPr>
      <w:spacing w:before="240" w:after="120"/>
      <w:outlineLvl w:val="0"/>
    </w:pPr>
    <w:rPr>
      <w:rFonts w:ascii="Times New Roman" w:hAnsi="Times New Roman"/>
      <w:b/>
      <w:sz w:val="32"/>
    </w:rPr>
  </w:style>
  <w:style w:type="paragraph" w:customStyle="1" w:styleId="AllowPageBreak">
    <w:name w:val="AllowPageBreak"/>
    <w:rsid w:val="00B60C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0C11"/>
    <w:pPr>
      <w:numPr>
        <w:numId w:val="3"/>
      </w:numPr>
      <w:tabs>
        <w:tab w:val="clear" w:pos="1021"/>
      </w:tabs>
      <w:ind w:left="1037" w:hanging="357"/>
    </w:pPr>
  </w:style>
  <w:style w:type="character" w:customStyle="1" w:styleId="Heading2Char">
    <w:name w:val="Heading 2 Char"/>
    <w:basedOn w:val="DefaultParagraphFont"/>
    <w:link w:val="Heading2"/>
    <w:rsid w:val="00B60C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C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C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C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C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C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C11"/>
    <w:rPr>
      <w:rFonts w:ascii="Courier New" w:eastAsia="Times New Roman" w:hAnsi="Courier New" w:cs="Times New Roman"/>
      <w:i/>
      <w:szCs w:val="20"/>
      <w:lang w:eastAsia="en-US"/>
    </w:rPr>
  </w:style>
  <w:style w:type="paragraph" w:customStyle="1" w:styleId="HeadingBase">
    <w:name w:val="Heading Base"/>
    <w:rsid w:val="00B60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C11"/>
    <w:pPr>
      <w:tabs>
        <w:tab w:val="right" w:leader="dot" w:pos="9072"/>
      </w:tabs>
      <w:ind w:left="567"/>
    </w:pPr>
    <w:rPr>
      <w:szCs w:val="22"/>
    </w:rPr>
  </w:style>
  <w:style w:type="paragraph" w:customStyle="1" w:styleId="TOCBase">
    <w:name w:val="TOC Base"/>
    <w:rsid w:val="00B60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C11"/>
    <w:pPr>
      <w:tabs>
        <w:tab w:val="right" w:leader="dot" w:pos="9072"/>
      </w:tabs>
      <w:spacing w:before="40" w:after="40"/>
      <w:ind w:left="284"/>
    </w:pPr>
    <w:rPr>
      <w:rFonts w:ascii="Times New Roman" w:hAnsi="Times New Roman"/>
    </w:rPr>
  </w:style>
  <w:style w:type="paragraph" w:styleId="TOC1">
    <w:name w:val="toc 1"/>
    <w:basedOn w:val="TOCBase"/>
    <w:next w:val="Normal"/>
    <w:rsid w:val="00B60C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C11"/>
    <w:rPr>
      <w:rFonts w:ascii="Times New Roman" w:eastAsia="Times New Roman" w:hAnsi="Times New Roman" w:cs="Times New Roman"/>
      <w:sz w:val="16"/>
      <w:lang w:eastAsia="en-US"/>
    </w:rPr>
  </w:style>
  <w:style w:type="paragraph" w:styleId="Title">
    <w:name w:val="Title"/>
    <w:basedOn w:val="HeadingBase"/>
    <w:link w:val="TitleChar"/>
    <w:qFormat/>
    <w:rsid w:val="00B60C11"/>
    <w:pPr>
      <w:spacing w:before="5040"/>
      <w:jc w:val="center"/>
    </w:pPr>
    <w:rPr>
      <w:sz w:val="48"/>
      <w:szCs w:val="72"/>
      <w:lang w:val="en-US"/>
    </w:rPr>
  </w:style>
  <w:style w:type="character" w:customStyle="1" w:styleId="TitleChar">
    <w:name w:val="Title Char"/>
    <w:basedOn w:val="DefaultParagraphFont"/>
    <w:link w:val="Title"/>
    <w:rsid w:val="00B60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C11"/>
    <w:pPr>
      <w:tabs>
        <w:tab w:val="left" w:pos="3600"/>
        <w:tab w:val="left" w:pos="3958"/>
      </w:tabs>
    </w:pPr>
  </w:style>
  <w:style w:type="paragraph" w:styleId="List">
    <w:name w:val="List"/>
    <w:basedOn w:val="BodyText"/>
    <w:next w:val="BodyText"/>
    <w:rsid w:val="00B60C11"/>
    <w:pPr>
      <w:tabs>
        <w:tab w:val="left" w:pos="340"/>
      </w:tabs>
      <w:spacing w:before="60" w:after="60"/>
      <w:ind w:left="340" w:hanging="340"/>
    </w:pPr>
  </w:style>
  <w:style w:type="paragraph" w:customStyle="1" w:styleId="Note">
    <w:name w:val="Note"/>
    <w:basedOn w:val="BodyText"/>
    <w:rsid w:val="00B60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C11"/>
    <w:pPr>
      <w:framePr w:wrap="auto" w:hAnchor="text" w:y="6049"/>
    </w:pPr>
    <w:rPr>
      <w:color w:val="000000"/>
      <w:sz w:val="40"/>
    </w:rPr>
  </w:style>
  <w:style w:type="paragraph" w:customStyle="1" w:styleId="TOCTitle">
    <w:name w:val="TOCTitle"/>
    <w:basedOn w:val="Heading1"/>
    <w:rsid w:val="00B60C11"/>
    <w:pPr>
      <w:spacing w:after="240"/>
      <w:jc w:val="center"/>
      <w:outlineLvl w:val="9"/>
    </w:pPr>
    <w:rPr>
      <w:caps/>
    </w:rPr>
  </w:style>
  <w:style w:type="paragraph" w:customStyle="1" w:styleId="Version">
    <w:name w:val="Version"/>
    <w:rsid w:val="00B60C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C11"/>
    <w:pPr>
      <w:keepNext w:val="0"/>
      <w:tabs>
        <w:tab w:val="right" w:pos="4176"/>
      </w:tabs>
      <w:ind w:left="198" w:hanging="198"/>
    </w:pPr>
    <w:rPr>
      <w:rFonts w:ascii="Garamond" w:hAnsi="Garamond"/>
    </w:rPr>
  </w:style>
  <w:style w:type="paragraph" w:styleId="IndexHeading">
    <w:name w:val="index heading"/>
    <w:basedOn w:val="Normal"/>
    <w:next w:val="Index1"/>
    <w:semiHidden/>
    <w:rsid w:val="00B60C11"/>
    <w:pPr>
      <w:spacing w:before="120" w:after="120"/>
    </w:pPr>
    <w:rPr>
      <w:rFonts w:ascii="Arial" w:hAnsi="Arial"/>
      <w:b/>
      <w:color w:val="918585"/>
      <w:sz w:val="24"/>
    </w:rPr>
  </w:style>
  <w:style w:type="paragraph" w:styleId="Header">
    <w:name w:val="header"/>
    <w:basedOn w:val="Normal"/>
    <w:link w:val="HeaderChar"/>
    <w:rsid w:val="00B60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C11"/>
    <w:rPr>
      <w:rFonts w:ascii="Times New Roman" w:eastAsia="Times New Roman" w:hAnsi="Times New Roman" w:cs="Times New Roman"/>
      <w:sz w:val="16"/>
      <w:szCs w:val="20"/>
      <w:lang w:val="en-GB" w:eastAsia="en-US"/>
    </w:rPr>
  </w:style>
  <w:style w:type="paragraph" w:customStyle="1" w:styleId="Chapter">
    <w:name w:val="Chapter"/>
    <w:basedOn w:val="Normal"/>
    <w:rsid w:val="00B60C11"/>
    <w:pPr>
      <w:spacing w:before="240"/>
    </w:pPr>
    <w:rPr>
      <w:rFonts w:ascii="Times New Roman" w:hAnsi="Times New Roman"/>
      <w:smallCaps/>
      <w:spacing w:val="80"/>
      <w:sz w:val="28"/>
    </w:rPr>
  </w:style>
  <w:style w:type="paragraph" w:customStyle="1" w:styleId="InChapter">
    <w:name w:val="InChapter"/>
    <w:basedOn w:val="Heading3"/>
    <w:rsid w:val="00B60C11"/>
    <w:pPr>
      <w:spacing w:after="240"/>
      <w:outlineLvl w:val="9"/>
    </w:pPr>
    <w:rPr>
      <w:noProof/>
    </w:rPr>
  </w:style>
  <w:style w:type="paragraph" w:styleId="Index2">
    <w:name w:val="index 2"/>
    <w:basedOn w:val="Normal"/>
    <w:next w:val="Normal"/>
    <w:semiHidden/>
    <w:rsid w:val="00B60C11"/>
    <w:pPr>
      <w:tabs>
        <w:tab w:val="right" w:pos="4176"/>
      </w:tabs>
      <w:ind w:left="568" w:hanging="284"/>
    </w:pPr>
    <w:rPr>
      <w:rFonts w:ascii="Garamond" w:hAnsi="Garamond"/>
    </w:rPr>
  </w:style>
  <w:style w:type="paragraph" w:customStyle="1" w:styleId="Byline">
    <w:name w:val="Byline"/>
    <w:rsid w:val="00B60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C11"/>
    <w:pPr>
      <w:tabs>
        <w:tab w:val="clear" w:pos="3600"/>
        <w:tab w:val="clear" w:pos="3958"/>
      </w:tabs>
      <w:jc w:val="right"/>
    </w:pPr>
  </w:style>
  <w:style w:type="paragraph" w:styleId="Caption">
    <w:name w:val="caption"/>
    <w:basedOn w:val="BodyText"/>
    <w:next w:val="Normal"/>
    <w:qFormat/>
    <w:rsid w:val="00B60C11"/>
    <w:pPr>
      <w:framePr w:w="2268" w:hSpace="181" w:vSpace="181" w:wrap="around" w:vAnchor="text" w:hAnchor="page" w:x="1135" w:y="285" w:anchorLock="1"/>
    </w:pPr>
    <w:rPr>
      <w:i/>
    </w:rPr>
  </w:style>
  <w:style w:type="paragraph" w:customStyle="1" w:styleId="MiniTOCTitle">
    <w:name w:val="MiniTOCTitle"/>
    <w:basedOn w:val="Heading4"/>
    <w:rsid w:val="00B60C11"/>
    <w:pPr>
      <w:spacing w:before="240"/>
      <w:outlineLvl w:val="9"/>
    </w:pPr>
    <w:rPr>
      <w:noProof/>
      <w:sz w:val="24"/>
    </w:rPr>
  </w:style>
  <w:style w:type="paragraph" w:customStyle="1" w:styleId="MiniTOCItem">
    <w:name w:val="MiniTOCItem"/>
    <w:basedOn w:val="ListBullet"/>
    <w:rsid w:val="00B60C11"/>
    <w:pPr>
      <w:numPr>
        <w:numId w:val="0"/>
      </w:numPr>
      <w:tabs>
        <w:tab w:val="right" w:leader="dot" w:pos="6521"/>
      </w:tabs>
      <w:spacing w:before="0" w:after="0"/>
    </w:pPr>
  </w:style>
  <w:style w:type="paragraph" w:customStyle="1" w:styleId="TOFTitle">
    <w:name w:val="TOFTitle"/>
    <w:basedOn w:val="TOCTitle"/>
    <w:rsid w:val="00B60C11"/>
  </w:style>
  <w:style w:type="paragraph" w:styleId="TableofFigures">
    <w:name w:val="table of figures"/>
    <w:basedOn w:val="Normal"/>
    <w:next w:val="Normal"/>
    <w:semiHidden/>
    <w:rsid w:val="00B60C11"/>
    <w:pPr>
      <w:tabs>
        <w:tab w:val="right" w:leader="dot" w:pos="9072"/>
      </w:tabs>
      <w:ind w:left="970" w:hanging="403"/>
    </w:pPr>
    <w:rPr>
      <w:rFonts w:ascii="Times New Roman" w:hAnsi="Times New Roman"/>
      <w:b/>
    </w:rPr>
  </w:style>
  <w:style w:type="paragraph" w:styleId="ListNumber">
    <w:name w:val="List Number"/>
    <w:basedOn w:val="List"/>
    <w:rsid w:val="00B60C11"/>
    <w:pPr>
      <w:numPr>
        <w:numId w:val="16"/>
      </w:numPr>
      <w:tabs>
        <w:tab w:val="clear" w:pos="340"/>
      </w:tabs>
    </w:pPr>
  </w:style>
  <w:style w:type="character" w:customStyle="1" w:styleId="WingdingSymbols">
    <w:name w:val="Wingding Symbols"/>
    <w:rsid w:val="00B60C11"/>
    <w:rPr>
      <w:rFonts w:ascii="Wingdings" w:hAnsi="Wingdings"/>
    </w:rPr>
  </w:style>
  <w:style w:type="paragraph" w:customStyle="1" w:styleId="TableHeading">
    <w:name w:val="Table Heading"/>
    <w:basedOn w:val="HeadingBase"/>
    <w:rsid w:val="00B60C11"/>
    <w:pPr>
      <w:keepLines/>
      <w:pBdr>
        <w:bottom w:val="single" w:sz="6" w:space="1" w:color="918585"/>
      </w:pBdr>
      <w:spacing w:before="240"/>
    </w:pPr>
  </w:style>
  <w:style w:type="character" w:customStyle="1" w:styleId="HotSpot">
    <w:name w:val="HotSpot"/>
    <w:rsid w:val="00B60C11"/>
    <w:rPr>
      <w:color w:val="0033CC"/>
      <w:u w:val="none"/>
    </w:rPr>
  </w:style>
  <w:style w:type="paragraph" w:customStyle="1" w:styleId="BodyTextRight">
    <w:name w:val="Body Text Right"/>
    <w:basedOn w:val="BodyText"/>
    <w:rsid w:val="00B60C11"/>
    <w:pPr>
      <w:spacing w:before="0" w:after="0"/>
      <w:jc w:val="right"/>
    </w:pPr>
  </w:style>
  <w:style w:type="paragraph" w:styleId="Index3">
    <w:name w:val="index 3"/>
    <w:basedOn w:val="ListNumber2"/>
    <w:next w:val="Normal"/>
    <w:semiHidden/>
    <w:rsid w:val="00B60C11"/>
    <w:pPr>
      <w:numPr>
        <w:numId w:val="0"/>
      </w:numPr>
      <w:tabs>
        <w:tab w:val="right" w:leader="dot" w:pos="4176"/>
      </w:tabs>
    </w:pPr>
  </w:style>
  <w:style w:type="paragraph" w:styleId="ListNumber2">
    <w:name w:val="List Number 2"/>
    <w:basedOn w:val="List2"/>
    <w:rsid w:val="00B60C11"/>
    <w:pPr>
      <w:numPr>
        <w:numId w:val="11"/>
      </w:numPr>
      <w:tabs>
        <w:tab w:val="clear" w:pos="1060"/>
      </w:tabs>
    </w:pPr>
  </w:style>
  <w:style w:type="paragraph" w:customStyle="1" w:styleId="MarginNote">
    <w:name w:val="Margin Note"/>
    <w:basedOn w:val="BodyText"/>
    <w:rsid w:val="00B60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C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C11"/>
    <w:rPr>
      <w:sz w:val="32"/>
    </w:rPr>
  </w:style>
  <w:style w:type="paragraph" w:customStyle="1" w:styleId="HeadingProcedure">
    <w:name w:val="Heading Procedure"/>
    <w:basedOn w:val="HeadingBase"/>
    <w:next w:val="Normal"/>
    <w:rsid w:val="00B60C11"/>
    <w:pPr>
      <w:tabs>
        <w:tab w:val="left" w:pos="0"/>
      </w:tabs>
      <w:spacing w:before="120" w:after="60"/>
    </w:pPr>
    <w:rPr>
      <w:i/>
      <w:color w:val="918585"/>
      <w:sz w:val="22"/>
    </w:rPr>
  </w:style>
  <w:style w:type="paragraph" w:customStyle="1" w:styleId="TableBodyText">
    <w:name w:val="Table Body Text"/>
    <w:basedOn w:val="BodyText"/>
    <w:rsid w:val="00B60C11"/>
    <w:pPr>
      <w:spacing w:before="60" w:after="60"/>
    </w:pPr>
  </w:style>
  <w:style w:type="paragraph" w:styleId="ListContinue">
    <w:name w:val="List Continue"/>
    <w:basedOn w:val="List"/>
    <w:rsid w:val="00B60C11"/>
    <w:pPr>
      <w:ind w:firstLine="0"/>
    </w:pPr>
  </w:style>
  <w:style w:type="paragraph" w:customStyle="1" w:styleId="ListNote">
    <w:name w:val="List Note"/>
    <w:basedOn w:val="List"/>
    <w:rsid w:val="00B60C11"/>
    <w:pPr>
      <w:pBdr>
        <w:top w:val="single" w:sz="6" w:space="2" w:color="918585"/>
        <w:bottom w:val="single" w:sz="6" w:space="2" w:color="918585"/>
      </w:pBdr>
      <w:tabs>
        <w:tab w:val="left" w:pos="1021"/>
      </w:tabs>
      <w:ind w:firstLine="0"/>
    </w:pPr>
  </w:style>
  <w:style w:type="paragraph" w:customStyle="1" w:styleId="Warning">
    <w:name w:val="Warning"/>
    <w:basedOn w:val="BodyText"/>
    <w:rsid w:val="00B60C11"/>
    <w:pPr>
      <w:shd w:val="clear" w:color="auto" w:fill="D9D9D9"/>
      <w:tabs>
        <w:tab w:val="left" w:pos="992"/>
      </w:tabs>
      <w:ind w:left="119" w:right="119"/>
    </w:pPr>
    <w:rPr>
      <w:sz w:val="20"/>
    </w:rPr>
  </w:style>
  <w:style w:type="paragraph" w:customStyle="1" w:styleId="MarginIcons">
    <w:name w:val="Margin Icons"/>
    <w:basedOn w:val="BodyText"/>
    <w:rsid w:val="00B60C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C11"/>
    <w:rPr>
      <w:rFonts w:ascii="Courier New" w:hAnsi="Courier New"/>
    </w:rPr>
  </w:style>
  <w:style w:type="paragraph" w:customStyle="1" w:styleId="NoteBullet">
    <w:name w:val="Note Bullet"/>
    <w:basedOn w:val="Note"/>
    <w:rsid w:val="00B60C11"/>
    <w:pPr>
      <w:tabs>
        <w:tab w:val="clear" w:pos="680"/>
      </w:tabs>
      <w:spacing w:before="60" w:after="60"/>
    </w:pPr>
  </w:style>
  <w:style w:type="paragraph" w:customStyle="1" w:styleId="SubHeading2">
    <w:name w:val="SubHeading2"/>
    <w:basedOn w:val="HeadingBase"/>
    <w:rsid w:val="00B60C11"/>
    <w:pPr>
      <w:spacing w:before="240" w:after="60"/>
    </w:pPr>
    <w:rPr>
      <w:sz w:val="20"/>
    </w:rPr>
  </w:style>
  <w:style w:type="paragraph" w:customStyle="1" w:styleId="SubHeading1">
    <w:name w:val="SubHeading1"/>
    <w:basedOn w:val="HeadingBase"/>
    <w:rsid w:val="00B60C11"/>
    <w:pPr>
      <w:spacing w:before="240" w:after="60"/>
    </w:pPr>
    <w:rPr>
      <w:color w:val="918585"/>
      <w:sz w:val="22"/>
    </w:rPr>
  </w:style>
  <w:style w:type="paragraph" w:customStyle="1" w:styleId="SideHeading">
    <w:name w:val="Side Heading"/>
    <w:basedOn w:val="HeadingBase"/>
    <w:rsid w:val="00B60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C11"/>
    <w:pPr>
      <w:numPr>
        <w:numId w:val="12"/>
      </w:numPr>
    </w:pPr>
  </w:style>
  <w:style w:type="paragraph" w:styleId="PlainText">
    <w:name w:val="Plain Text"/>
    <w:basedOn w:val="Normal"/>
    <w:link w:val="PlainTextChar"/>
    <w:rsid w:val="00B60C11"/>
    <w:rPr>
      <w:sz w:val="20"/>
    </w:rPr>
  </w:style>
  <w:style w:type="character" w:customStyle="1" w:styleId="PlainTextChar">
    <w:name w:val="Plain Text Char"/>
    <w:basedOn w:val="DefaultParagraphFont"/>
    <w:link w:val="PlainText"/>
    <w:rsid w:val="00B60C11"/>
    <w:rPr>
      <w:rFonts w:ascii="Courier New" w:eastAsia="Times New Roman" w:hAnsi="Courier New" w:cs="Times New Roman"/>
      <w:sz w:val="20"/>
      <w:szCs w:val="20"/>
      <w:lang w:eastAsia="en-US"/>
    </w:rPr>
  </w:style>
  <w:style w:type="character" w:customStyle="1" w:styleId="MenuOption">
    <w:name w:val="Menu Option"/>
    <w:basedOn w:val="DefaultParagraphFont"/>
    <w:rsid w:val="00B60C11"/>
    <w:rPr>
      <w:b/>
      <w:smallCaps/>
    </w:rPr>
  </w:style>
  <w:style w:type="paragraph" w:customStyle="1" w:styleId="TableListNumber">
    <w:name w:val="Table List Number"/>
    <w:basedOn w:val="ListNumber"/>
    <w:rsid w:val="00B60C11"/>
    <w:pPr>
      <w:numPr>
        <w:numId w:val="0"/>
      </w:numPr>
    </w:pPr>
  </w:style>
  <w:style w:type="paragraph" w:styleId="TOC4">
    <w:name w:val="toc 4"/>
    <w:basedOn w:val="TOCBase"/>
    <w:next w:val="Normal"/>
    <w:semiHidden/>
    <w:rsid w:val="00B60C11"/>
    <w:pPr>
      <w:tabs>
        <w:tab w:val="right" w:leader="dot" w:pos="9071"/>
      </w:tabs>
      <w:ind w:left="1701"/>
    </w:pPr>
  </w:style>
  <w:style w:type="paragraph" w:customStyle="1" w:styleId="ListAlpha">
    <w:name w:val="List Alpha"/>
    <w:basedOn w:val="List"/>
    <w:rsid w:val="00B60C11"/>
    <w:pPr>
      <w:numPr>
        <w:numId w:val="10"/>
      </w:numPr>
    </w:pPr>
  </w:style>
  <w:style w:type="paragraph" w:customStyle="1" w:styleId="ListAlpha2">
    <w:name w:val="List Alpha 2"/>
    <w:basedOn w:val="List2"/>
    <w:rsid w:val="00B60C11"/>
    <w:pPr>
      <w:numPr>
        <w:numId w:val="9"/>
      </w:numPr>
    </w:pPr>
  </w:style>
  <w:style w:type="paragraph" w:styleId="List2">
    <w:name w:val="List 2"/>
    <w:basedOn w:val="BodyText"/>
    <w:rsid w:val="00B60C11"/>
    <w:pPr>
      <w:tabs>
        <w:tab w:val="left" w:pos="680"/>
      </w:tabs>
      <w:spacing w:before="60" w:after="60"/>
      <w:ind w:left="680" w:hanging="340"/>
    </w:pPr>
  </w:style>
  <w:style w:type="paragraph" w:styleId="List3">
    <w:name w:val="List 3"/>
    <w:basedOn w:val="BodyText"/>
    <w:rsid w:val="00B60C11"/>
    <w:pPr>
      <w:tabs>
        <w:tab w:val="left" w:pos="1021"/>
      </w:tabs>
      <w:spacing w:before="60" w:after="60"/>
      <w:ind w:left="1020" w:hanging="340"/>
    </w:pPr>
  </w:style>
  <w:style w:type="paragraph" w:styleId="List4">
    <w:name w:val="List 4"/>
    <w:basedOn w:val="BodyText"/>
    <w:rsid w:val="00B60C11"/>
    <w:pPr>
      <w:tabs>
        <w:tab w:val="left" w:pos="1361"/>
      </w:tabs>
      <w:spacing w:before="60" w:after="60"/>
      <w:ind w:left="1361" w:hanging="340"/>
    </w:pPr>
  </w:style>
  <w:style w:type="paragraph" w:styleId="List5">
    <w:name w:val="List 5"/>
    <w:basedOn w:val="BodyText"/>
    <w:rsid w:val="00B60C11"/>
    <w:pPr>
      <w:tabs>
        <w:tab w:val="left" w:pos="1701"/>
      </w:tabs>
      <w:spacing w:before="60" w:after="60"/>
      <w:ind w:left="1701" w:hanging="340"/>
    </w:pPr>
  </w:style>
  <w:style w:type="paragraph" w:styleId="ListBullet4">
    <w:name w:val="List Bullet 4"/>
    <w:basedOn w:val="List4"/>
    <w:rsid w:val="00B60C11"/>
    <w:pPr>
      <w:numPr>
        <w:numId w:val="4"/>
      </w:numPr>
      <w:tabs>
        <w:tab w:val="clear" w:pos="1361"/>
      </w:tabs>
    </w:pPr>
  </w:style>
  <w:style w:type="paragraph" w:styleId="ListBullet5">
    <w:name w:val="List Bullet 5"/>
    <w:basedOn w:val="List5"/>
    <w:rsid w:val="00B60C11"/>
    <w:pPr>
      <w:numPr>
        <w:numId w:val="5"/>
      </w:numPr>
    </w:pPr>
  </w:style>
  <w:style w:type="paragraph" w:styleId="ListContinue2">
    <w:name w:val="List Continue 2"/>
    <w:basedOn w:val="List2"/>
    <w:rsid w:val="00B60C11"/>
    <w:pPr>
      <w:ind w:firstLine="0"/>
    </w:pPr>
  </w:style>
  <w:style w:type="paragraph" w:styleId="ListContinue3">
    <w:name w:val="List Continue 3"/>
    <w:basedOn w:val="List3"/>
    <w:rsid w:val="00B60C11"/>
    <w:pPr>
      <w:ind w:left="1021" w:firstLine="0"/>
    </w:pPr>
  </w:style>
  <w:style w:type="paragraph" w:styleId="ListContinue4">
    <w:name w:val="List Continue 4"/>
    <w:basedOn w:val="List4"/>
    <w:rsid w:val="00B60C11"/>
    <w:pPr>
      <w:ind w:firstLine="0"/>
    </w:pPr>
  </w:style>
  <w:style w:type="paragraph" w:styleId="ListContinue5">
    <w:name w:val="List Continue 5"/>
    <w:basedOn w:val="List5"/>
    <w:rsid w:val="00B60C11"/>
    <w:pPr>
      <w:ind w:firstLine="0"/>
    </w:pPr>
  </w:style>
  <w:style w:type="paragraph" w:styleId="ListNumber3">
    <w:name w:val="List Number 3"/>
    <w:basedOn w:val="List3"/>
    <w:rsid w:val="00B60C11"/>
    <w:pPr>
      <w:numPr>
        <w:numId w:val="6"/>
      </w:numPr>
    </w:pPr>
  </w:style>
  <w:style w:type="paragraph" w:styleId="ListNumber4">
    <w:name w:val="List Number 4"/>
    <w:basedOn w:val="List4"/>
    <w:rsid w:val="00B60C11"/>
    <w:pPr>
      <w:numPr>
        <w:numId w:val="7"/>
      </w:numPr>
    </w:pPr>
  </w:style>
  <w:style w:type="paragraph" w:styleId="ListNumber5">
    <w:name w:val="List Number 5"/>
    <w:basedOn w:val="List5"/>
    <w:rsid w:val="00B60C11"/>
    <w:pPr>
      <w:numPr>
        <w:numId w:val="8"/>
      </w:numPr>
    </w:pPr>
  </w:style>
  <w:style w:type="paragraph" w:styleId="BlockText">
    <w:name w:val="Block Text"/>
    <w:basedOn w:val="Normal"/>
    <w:rsid w:val="00B60C11"/>
    <w:pPr>
      <w:spacing w:after="120"/>
      <w:ind w:left="1440" w:right="1440"/>
    </w:pPr>
  </w:style>
  <w:style w:type="character" w:customStyle="1" w:styleId="Subscript">
    <w:name w:val="Subscript"/>
    <w:basedOn w:val="DefaultParagraphFont"/>
    <w:rsid w:val="00B60C11"/>
    <w:rPr>
      <w:sz w:val="16"/>
      <w:vertAlign w:val="subscript"/>
    </w:rPr>
  </w:style>
  <w:style w:type="character" w:customStyle="1" w:styleId="Superscript">
    <w:name w:val="Superscript"/>
    <w:basedOn w:val="DefaultParagraphFont"/>
    <w:rsid w:val="00B60C11"/>
    <w:rPr>
      <w:sz w:val="16"/>
      <w:vertAlign w:val="superscript"/>
    </w:rPr>
  </w:style>
  <w:style w:type="character" w:customStyle="1" w:styleId="Symbols">
    <w:name w:val="Symbols"/>
    <w:basedOn w:val="DefaultParagraphFont"/>
    <w:rsid w:val="00B60C11"/>
    <w:rPr>
      <w:rFonts w:ascii="Symbol" w:hAnsi="Symbol"/>
    </w:rPr>
  </w:style>
  <w:style w:type="character" w:customStyle="1" w:styleId="MenuOptions">
    <w:name w:val="Menu Options"/>
    <w:basedOn w:val="DefaultParagraphFont"/>
    <w:rsid w:val="00B60C11"/>
    <w:rPr>
      <w:rFonts w:ascii="Arial Narrow" w:hAnsi="Arial Narrow"/>
      <w:smallCaps/>
    </w:rPr>
  </w:style>
  <w:style w:type="character" w:customStyle="1" w:styleId="Buttons">
    <w:name w:val="Buttons"/>
    <w:basedOn w:val="DefaultParagraphFont"/>
    <w:rsid w:val="00B60C11"/>
    <w:rPr>
      <w:b/>
    </w:rPr>
  </w:style>
  <w:style w:type="character" w:customStyle="1" w:styleId="Underlined">
    <w:name w:val="Underlined"/>
    <w:basedOn w:val="DefaultParagraphFont"/>
    <w:rsid w:val="00B60C11"/>
    <w:rPr>
      <w:u w:val="single"/>
    </w:rPr>
  </w:style>
  <w:style w:type="paragraph" w:customStyle="1" w:styleId="TableBodyTextRight">
    <w:name w:val="Table Body Text Right"/>
    <w:basedOn w:val="TableBodyText"/>
    <w:rsid w:val="00B60C11"/>
    <w:pPr>
      <w:widowControl w:val="0"/>
      <w:autoSpaceDE w:val="0"/>
      <w:autoSpaceDN w:val="0"/>
      <w:adjustRightInd w:val="0"/>
      <w:jc w:val="right"/>
    </w:pPr>
    <w:rPr>
      <w:rFonts w:cs="Arial"/>
      <w:szCs w:val="18"/>
    </w:rPr>
  </w:style>
  <w:style w:type="paragraph" w:customStyle="1" w:styleId="CopyrightText">
    <w:name w:val="Copyright Text"/>
    <w:basedOn w:val="BodyText"/>
    <w:rsid w:val="00B60C11"/>
    <w:rPr>
      <w:sz w:val="18"/>
    </w:rPr>
  </w:style>
  <w:style w:type="paragraph" w:customStyle="1" w:styleId="BodySmallRight">
    <w:name w:val="Body Small Right"/>
    <w:basedOn w:val="BodyTextRight"/>
    <w:rsid w:val="00B60C11"/>
    <w:rPr>
      <w:sz w:val="18"/>
      <w:szCs w:val="18"/>
    </w:rPr>
  </w:style>
  <w:style w:type="paragraph" w:customStyle="1" w:styleId="MarginEdition">
    <w:name w:val="Margin Edition"/>
    <w:basedOn w:val="MarginNote"/>
    <w:rsid w:val="00B60C11"/>
    <w:pPr>
      <w:spacing w:before="0" w:after="0"/>
    </w:pPr>
    <w:rPr>
      <w:rFonts w:ascii="Times New Roman" w:hAnsi="Times New Roman"/>
      <w:color w:val="999999"/>
    </w:rPr>
  </w:style>
  <w:style w:type="paragraph" w:customStyle="1" w:styleId="Spacer">
    <w:name w:val="Spacer"/>
    <w:basedOn w:val="Normal"/>
    <w:rsid w:val="00B60C11"/>
    <w:rPr>
      <w:sz w:val="2"/>
      <w:szCs w:val="2"/>
    </w:rPr>
  </w:style>
  <w:style w:type="character" w:customStyle="1" w:styleId="Small">
    <w:name w:val="Small"/>
    <w:basedOn w:val="DefaultParagraphFont"/>
    <w:rsid w:val="00B60C11"/>
    <w:rPr>
      <w:sz w:val="16"/>
    </w:rPr>
  </w:style>
  <w:style w:type="paragraph" w:customStyle="1" w:styleId="WideTable">
    <w:name w:val="Wide Table"/>
    <w:basedOn w:val="Normal"/>
    <w:rsid w:val="00B60C11"/>
    <w:pPr>
      <w:ind w:left="-1418"/>
    </w:pPr>
    <w:rPr>
      <w:sz w:val="2"/>
      <w:szCs w:val="2"/>
    </w:rPr>
  </w:style>
  <w:style w:type="character" w:styleId="PageNumber">
    <w:name w:val="page number"/>
    <w:basedOn w:val="DefaultParagraphFont"/>
    <w:rsid w:val="00B60C11"/>
  </w:style>
  <w:style w:type="paragraph" w:styleId="Quote">
    <w:name w:val="Quote"/>
    <w:basedOn w:val="Heading1"/>
    <w:link w:val="QuoteChar"/>
    <w:qFormat/>
    <w:rsid w:val="00B60C11"/>
    <w:rPr>
      <w:b w:val="0"/>
      <w:sz w:val="72"/>
      <w:szCs w:val="72"/>
      <w:lang w:val="en-NZ"/>
    </w:rPr>
  </w:style>
  <w:style w:type="character" w:customStyle="1" w:styleId="QuoteChar">
    <w:name w:val="Quote Char"/>
    <w:basedOn w:val="DefaultParagraphFont"/>
    <w:link w:val="Quote"/>
    <w:rsid w:val="00B60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C11"/>
    <w:pPr>
      <w:pageBreakBefore/>
    </w:pPr>
  </w:style>
  <w:style w:type="paragraph" w:customStyle="1" w:styleId="Border">
    <w:name w:val="Border"/>
    <w:basedOn w:val="Normal"/>
    <w:qFormat/>
    <w:rsid w:val="00B60C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C11"/>
    <w:rPr>
      <w:b/>
      <w:bCs/>
      <w:i/>
      <w:iCs/>
      <w:color w:val="auto"/>
    </w:rPr>
  </w:style>
  <w:style w:type="paragraph" w:styleId="IntenseQuote">
    <w:name w:val="Intense Quote"/>
    <w:basedOn w:val="Normal"/>
    <w:next w:val="Normal"/>
    <w:link w:val="IntenseQuoteChar"/>
    <w:uiPriority w:val="30"/>
    <w:qFormat/>
    <w:rsid w:val="00B60C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C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C11"/>
    <w:rPr>
      <w:smallCaps/>
      <w:color w:val="auto"/>
      <w:u w:val="single"/>
    </w:rPr>
  </w:style>
  <w:style w:type="character" w:styleId="IntenseReference">
    <w:name w:val="Intense Reference"/>
    <w:basedOn w:val="DefaultParagraphFont"/>
    <w:uiPriority w:val="32"/>
    <w:qFormat/>
    <w:rsid w:val="00B60C11"/>
    <w:rPr>
      <w:b/>
      <w:bCs/>
      <w:smallCaps/>
      <w:color w:val="auto"/>
      <w:spacing w:val="5"/>
      <w:u w:val="single"/>
    </w:rPr>
  </w:style>
  <w:style w:type="paragraph" w:customStyle="1" w:styleId="2ColumnHeading">
    <w:name w:val="2Column Heading"/>
    <w:basedOn w:val="BodyText"/>
    <w:qFormat/>
    <w:rsid w:val="00B60C11"/>
    <w:pPr>
      <w:spacing w:after="60"/>
      <w:ind w:left="-2268"/>
    </w:pPr>
    <w:rPr>
      <w:b/>
    </w:rPr>
  </w:style>
  <w:style w:type="paragraph" w:customStyle="1" w:styleId="Heading1TOC">
    <w:name w:val="Heading1 TOC"/>
    <w:basedOn w:val="Normal"/>
    <w:qFormat/>
    <w:rsid w:val="00B60C11"/>
    <w:pPr>
      <w:spacing w:before="240" w:after="120"/>
    </w:pPr>
    <w:rPr>
      <w:rFonts w:ascii="Times New Roman" w:hAnsi="Times New Roman"/>
      <w:b/>
      <w:sz w:val="32"/>
    </w:rPr>
  </w:style>
  <w:style w:type="paragraph" w:customStyle="1" w:styleId="Heading2TOC">
    <w:name w:val="Heading2 TOC"/>
    <w:basedOn w:val="Normal"/>
    <w:qFormat/>
    <w:rsid w:val="00B60C11"/>
    <w:pPr>
      <w:spacing w:before="240" w:after="60"/>
    </w:pPr>
    <w:rPr>
      <w:rFonts w:ascii="Times New Roman" w:hAnsi="Times New Roman"/>
      <w:b/>
      <w:sz w:val="28"/>
    </w:rPr>
  </w:style>
  <w:style w:type="character" w:customStyle="1" w:styleId="Underline">
    <w:name w:val="Underline"/>
    <w:basedOn w:val="DefaultParagraphFont"/>
    <w:qFormat/>
    <w:rsid w:val="00B60C11"/>
    <w:rPr>
      <w:u w:val="single"/>
    </w:rPr>
  </w:style>
  <w:style w:type="character" w:customStyle="1" w:styleId="BoldandItalics">
    <w:name w:val="Bold and Italics"/>
    <w:qFormat/>
    <w:rsid w:val="00B60C11"/>
    <w:rPr>
      <w:b/>
      <w:i/>
      <w:u w:val="none"/>
    </w:rPr>
  </w:style>
  <w:style w:type="paragraph" w:styleId="BalloonText">
    <w:name w:val="Balloon Text"/>
    <w:basedOn w:val="Normal"/>
    <w:link w:val="BalloonTextChar"/>
    <w:rsid w:val="00B60C11"/>
    <w:rPr>
      <w:rFonts w:ascii="Tahoma" w:hAnsi="Tahoma" w:cs="Tahoma"/>
      <w:sz w:val="16"/>
      <w:szCs w:val="16"/>
    </w:rPr>
  </w:style>
  <w:style w:type="character" w:customStyle="1" w:styleId="BalloonTextChar">
    <w:name w:val="Balloon Text Char"/>
    <w:basedOn w:val="DefaultParagraphFont"/>
    <w:link w:val="BalloonText"/>
    <w:rsid w:val="00B60C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C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C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C11"/>
    <w:rPr>
      <w:b/>
      <w:color w:val="660033"/>
      <w:spacing w:val="0"/>
    </w:rPr>
  </w:style>
  <w:style w:type="paragraph" w:customStyle="1" w:styleId="Nameditemlist">
    <w:name w:val="Named item list"/>
    <w:basedOn w:val="BodyText"/>
    <w:qFormat/>
    <w:rsid w:val="00B60C11"/>
    <w:pPr>
      <w:tabs>
        <w:tab w:val="left" w:pos="2835"/>
      </w:tabs>
      <w:ind w:left="2835" w:hanging="2835"/>
    </w:pPr>
  </w:style>
  <w:style w:type="paragraph" w:customStyle="1" w:styleId="BodyTextnopadding">
    <w:name w:val="Body Text no padding"/>
    <w:basedOn w:val="BodyText"/>
    <w:qFormat/>
    <w:rsid w:val="00B60C11"/>
    <w:pPr>
      <w:spacing w:before="0" w:after="0"/>
    </w:pPr>
  </w:style>
  <w:style w:type="paragraph" w:customStyle="1" w:styleId="BodyTextBold">
    <w:name w:val="Body Text Bold"/>
    <w:basedOn w:val="BodyText"/>
    <w:qFormat/>
    <w:rsid w:val="00B60C11"/>
    <w:rPr>
      <w:b/>
    </w:rPr>
  </w:style>
  <w:style w:type="character" w:styleId="Hyperlink">
    <w:name w:val="Hyperlink"/>
    <w:basedOn w:val="DefaultParagraphFont"/>
    <w:uiPriority w:val="99"/>
    <w:unhideWhenUsed/>
    <w:rsid w:val="00291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7853</Characters>
  <Application>Microsoft Office Word</Application>
  <DocSecurity>0</DocSecurity>
  <Lines>341</Lines>
  <Paragraphs>201</Paragraphs>
  <ScaleCrop>false</ScaleCrop>
  <Company>Author-it Software Corporation Ltd.</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MEM27020 Apply knowledge of large combustion engine operations to service and maintenance tasks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