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41C" w:rsidP="00832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MEM27020 Apply knowledge of large combustion engine operations to service and maintenance tasks</w:t>
      </w:r>
      <w:r>
        <w:fldChar w:fldCharType="end"/>
      </w:r>
    </w:p>
    <w:p w:rsidR="0083241C" w:rsidP="0083241C">
      <w:pPr>
        <w:pStyle w:val="Version"/>
        <w:sectPr w:rsidSect="00C82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C27" w:rsidP="00C82C27">
      <w:pPr>
        <w:pStyle w:val="SuperHeading"/>
      </w:pPr>
      <w:r w:rsidRPr="00C82C27">
        <w:t>Assessment Requirements for MEM27020 Apply knowledge of large combustion engine operations to service and maintenance tasks</w:t>
      </w:r>
    </w:p>
    <w:p w:rsidR="00000000" w:rsidRPr="00C82C27" w:rsidP="00C82C27">
      <w:pPr>
        <w:pStyle w:val="Heading1"/>
      </w:pPr>
      <w:bookmarkStart w:id="1" w:name="O_960156"/>
      <w:bookmarkEnd w:id="1"/>
      <w:r w:rsidRPr="00C82C27">
        <w:t>Modification History</w:t>
      </w:r>
    </w:p>
    <w:p w:rsidR="00000000" w:rsidRPr="00C82C27" w:rsidP="0083241C">
      <w:pPr>
        <w:pStyle w:val="BodyText"/>
      </w:pPr>
      <w:r w:rsidRPr="00C82C27">
        <w:t>Release 1: New unit</w:t>
      </w:r>
    </w:p>
    <w:p w:rsidR="00000000" w:rsidRPr="00C82C27" w:rsidP="00C82C27">
      <w:pPr>
        <w:pStyle w:val="Heading1"/>
      </w:pPr>
      <w:bookmarkStart w:id="2" w:name="O_960159"/>
      <w:bookmarkEnd w:id="2"/>
      <w:r w:rsidRPr="00C82C27">
        <w:t>Performance Evidence</w:t>
      </w:r>
    </w:p>
    <w:p w:rsidR="00000000" w:rsidRPr="00C82C27" w:rsidP="0083241C">
      <w:pPr>
        <w:pStyle w:val="BodyText"/>
      </w:pPr>
      <w:r w:rsidRPr="00C82C27">
        <w:t>Evidence required to demonstrate competence in this unit must be relevant to and satisfy the requirements of the elements and performance criteria on at least two (2) occasions and include:</w:t>
      </w:r>
    </w:p>
    <w:p w:rsidR="00000000" w:rsidRPr="00C82C27" w:rsidP="00C82C27">
      <w:pPr>
        <w:pStyle w:val="ListBullet"/>
      </w:pPr>
      <w:r w:rsidRPr="00C82C27">
        <w:t xml:space="preserve">following manufacturer and work instructions, standard operating </w:t>
      </w:r>
      <w:r w:rsidRPr="00C82C27">
        <w:t xml:space="preserve">procedures (SOPs) and safe work practices </w:t>
      </w:r>
    </w:p>
    <w:p w:rsidR="00000000" w:rsidRPr="00C82C27" w:rsidP="00C82C27">
      <w:pPr>
        <w:pStyle w:val="ListBullet"/>
      </w:pPr>
      <w:r w:rsidRPr="00C82C27">
        <w:t>identifying appropriate sources of information on engine and equipment</w:t>
      </w:r>
    </w:p>
    <w:p w:rsidR="00000000" w:rsidRPr="00C82C27" w:rsidP="00C82C27">
      <w:pPr>
        <w:pStyle w:val="ListBullet"/>
      </w:pPr>
      <w:r w:rsidRPr="00C82C27">
        <w:t>carrying out classification of large combustion engines from observation, manufacturer instructions and manuals and workplace records, includi</w:t>
      </w:r>
      <w:r w:rsidRPr="00C82C27">
        <w:t>ng classification of:</w:t>
      </w:r>
    </w:p>
    <w:p w:rsidR="00000000" w:rsidRPr="00C82C27" w:rsidP="00C82C27">
      <w:pPr>
        <w:pStyle w:val="ListBullet2"/>
      </w:pPr>
      <w:r w:rsidRPr="00C82C27">
        <w:t>engine type</w:t>
      </w:r>
    </w:p>
    <w:p w:rsidR="00000000" w:rsidRPr="00C82C27" w:rsidP="00C82C27">
      <w:pPr>
        <w:pStyle w:val="ListBullet2"/>
      </w:pPr>
      <w:r w:rsidRPr="00C82C27">
        <w:t>engine features</w:t>
      </w:r>
    </w:p>
    <w:p w:rsidR="00000000" w:rsidRPr="00C82C27" w:rsidP="00C82C27">
      <w:pPr>
        <w:pStyle w:val="ListBullet2"/>
      </w:pPr>
      <w:r w:rsidRPr="00C82C27">
        <w:t>engine systems</w:t>
      </w:r>
    </w:p>
    <w:p w:rsidR="00000000" w:rsidRPr="00C82C27" w:rsidP="00C82C27">
      <w:pPr>
        <w:pStyle w:val="ListBullet2"/>
      </w:pPr>
      <w:r w:rsidRPr="00C82C27">
        <w:t>engine components</w:t>
      </w:r>
    </w:p>
    <w:p w:rsidR="00000000" w:rsidRPr="00C82C27" w:rsidP="00C82C27">
      <w:pPr>
        <w:pStyle w:val="ListBullet2"/>
      </w:pPr>
      <w:r w:rsidRPr="00C82C27">
        <w:t>fuel type and fuel system</w:t>
      </w:r>
    </w:p>
    <w:p w:rsidR="00000000" w:rsidRPr="00C82C27" w:rsidP="00C82C27">
      <w:pPr>
        <w:pStyle w:val="ListBullet"/>
      </w:pPr>
      <w:r w:rsidRPr="00C82C27">
        <w:t xml:space="preserve">assessing implications of engine and equipment service history and equipment operational records for service and maintenance tasks </w:t>
      </w:r>
    </w:p>
    <w:p w:rsidR="00000000" w:rsidRPr="00C82C27" w:rsidP="00C82C27">
      <w:pPr>
        <w:pStyle w:val="ListBullet"/>
      </w:pPr>
      <w:r w:rsidRPr="00C82C27">
        <w:t>recording and reporting service activities in accordance with SOPs.</w:t>
      </w:r>
    </w:p>
    <w:p w:rsidR="00000000" w:rsidRPr="00C82C27" w:rsidP="00C82C27">
      <w:pPr>
        <w:pStyle w:val="AllowPageBreak"/>
      </w:pPr>
    </w:p>
    <w:p w:rsidR="00000000" w:rsidRPr="00C82C27" w:rsidP="00C82C27">
      <w:pPr>
        <w:pStyle w:val="Heading1"/>
      </w:pPr>
      <w:bookmarkStart w:id="3" w:name="O_960158"/>
      <w:bookmarkEnd w:id="3"/>
      <w:r w:rsidRPr="00C82C27">
        <w:t>Knowledge Evidence</w:t>
      </w:r>
    </w:p>
    <w:p w:rsidR="00000000" w:rsidRPr="00C82C27" w:rsidP="0083241C">
      <w:pPr>
        <w:pStyle w:val="BodyText"/>
      </w:pPr>
      <w:r w:rsidRPr="00C82C27">
        <w:t>Evidence required to demonstrate the required knowledge for this unit must be relevant to and satisfy the requirements of the elements and performance c</w:t>
      </w:r>
      <w:r w:rsidRPr="00C82C27">
        <w:t>riteria and include knowledge of:</w:t>
      </w:r>
    </w:p>
    <w:p w:rsidR="00000000" w:rsidRPr="00C82C27" w:rsidP="00C82C27">
      <w:pPr>
        <w:pStyle w:val="ListBullet"/>
      </w:pPr>
      <w:r w:rsidRPr="00C82C27">
        <w:t>safe work practices and procedures and use of personal protective equipment (PPE)</w:t>
      </w:r>
    </w:p>
    <w:p w:rsidR="00000000" w:rsidRPr="00C82C27" w:rsidP="00C82C27">
      <w:pPr>
        <w:pStyle w:val="ListBullet"/>
      </w:pPr>
      <w:r w:rsidRPr="00C82C27">
        <w:t>classification of combustion engines, including:</w:t>
      </w:r>
    </w:p>
    <w:p w:rsidR="00000000" w:rsidRPr="00C82C27" w:rsidP="00C82C27">
      <w:pPr>
        <w:pStyle w:val="ListBullet2"/>
      </w:pPr>
      <w:r w:rsidRPr="00C82C27">
        <w:t>internal and external combustion</w:t>
      </w:r>
    </w:p>
    <w:p w:rsidR="00000000" w:rsidRPr="00C82C27" w:rsidP="00C82C27">
      <w:pPr>
        <w:pStyle w:val="ListBullet2"/>
      </w:pPr>
      <w:r w:rsidRPr="00C82C27">
        <w:t>reciprocating and rotary engines</w:t>
      </w:r>
    </w:p>
    <w:p w:rsidR="00000000" w:rsidRPr="00C82C27" w:rsidP="00C82C27">
      <w:pPr>
        <w:pStyle w:val="ListBullet2"/>
      </w:pPr>
      <w:r w:rsidRPr="00C82C27">
        <w:t>two and four stroke cyc</w:t>
      </w:r>
      <w:r w:rsidRPr="00C82C27">
        <w:t>les</w:t>
      </w:r>
    </w:p>
    <w:p w:rsidR="00000000" w:rsidRPr="00C82C27" w:rsidP="00C82C27">
      <w:pPr>
        <w:pStyle w:val="ListBullet2"/>
      </w:pPr>
      <w:r w:rsidRPr="00C82C27">
        <w:t>spark ignition and compression ignition</w:t>
      </w:r>
    </w:p>
    <w:p w:rsidR="00000000" w:rsidRPr="00C82C27" w:rsidP="00C82C27">
      <w:pPr>
        <w:pStyle w:val="ListBullet2"/>
      </w:pPr>
      <w:r w:rsidRPr="00C82C27">
        <w:t>turbines</w:t>
      </w:r>
    </w:p>
    <w:p w:rsidR="00000000" w:rsidRPr="00C82C27" w:rsidP="00C82C27">
      <w:pPr>
        <w:pStyle w:val="ListBullet"/>
      </w:pPr>
      <w:r w:rsidRPr="00C82C27">
        <w:t>engine features, including:</w:t>
      </w:r>
    </w:p>
    <w:p w:rsidR="00000000" w:rsidRPr="00C82C27" w:rsidP="00C82C27">
      <w:pPr>
        <w:pStyle w:val="ListBullet2"/>
      </w:pPr>
      <w:r w:rsidRPr="00C82C27">
        <w:t>number and arrangement of cylinders</w:t>
      </w:r>
    </w:p>
    <w:p w:rsidR="00000000" w:rsidRPr="00C82C27" w:rsidP="00C82C27">
      <w:pPr>
        <w:pStyle w:val="ListBullet2"/>
      </w:pPr>
      <w:r w:rsidRPr="00C82C27">
        <w:t>materials used for major components (e.g. steel, aluminium and ceramic)</w:t>
      </w:r>
    </w:p>
    <w:p w:rsidR="00000000" w:rsidRPr="00C82C27" w:rsidP="00C82C27">
      <w:pPr>
        <w:pStyle w:val="ListBullet"/>
      </w:pPr>
      <w:r w:rsidRPr="00C82C27">
        <w:t>fuel types and implications for engine operation and maintenance (e.g. petrol, diesel, diesel/gas, gas (natural gas, biogases and special gases))</w:t>
      </w:r>
    </w:p>
    <w:p w:rsidR="00000000" w:rsidRPr="00C82C27" w:rsidP="00C82C27">
      <w:pPr>
        <w:pStyle w:val="ListBullet2"/>
      </w:pPr>
      <w:r w:rsidRPr="00C82C27">
        <w:t>engine location:</w:t>
      </w:r>
    </w:p>
    <w:p w:rsidR="00000000" w:rsidRPr="00C82C27" w:rsidP="00C82C27">
      <w:pPr>
        <w:pStyle w:val="ListBullet3"/>
      </w:pPr>
      <w:r w:rsidRPr="00C82C27">
        <w:t>front, mid or rear engine</w:t>
      </w:r>
    </w:p>
    <w:p w:rsidR="00000000" w:rsidRPr="00C82C27" w:rsidP="00C82C27">
      <w:pPr>
        <w:pStyle w:val="ListBullet3"/>
      </w:pPr>
      <w:r w:rsidRPr="00C82C27">
        <w:t>longitudinal or transverse engine</w:t>
      </w:r>
    </w:p>
    <w:p w:rsidR="00000000" w:rsidRPr="00C82C27" w:rsidP="00C82C27">
      <w:pPr>
        <w:pStyle w:val="ListBullet2"/>
      </w:pPr>
      <w:r w:rsidRPr="00C82C27">
        <w:t>ignition system, components an</w:t>
      </w:r>
      <w:r w:rsidRPr="00C82C27">
        <w:t>d firing order</w:t>
      </w:r>
    </w:p>
    <w:p w:rsidR="00000000" w:rsidRPr="00C82C27" w:rsidP="00C82C27">
      <w:pPr>
        <w:pStyle w:val="ListBullet2"/>
      </w:pPr>
      <w:r w:rsidRPr="00C82C27">
        <w:t>operational parameters, including:</w:t>
      </w:r>
    </w:p>
    <w:p w:rsidR="00000000" w:rsidRPr="00C82C27" w:rsidP="00C82C27">
      <w:pPr>
        <w:pStyle w:val="ListBullet3"/>
      </w:pPr>
      <w:r w:rsidRPr="00C82C27">
        <w:t>bore and stroke</w:t>
      </w:r>
    </w:p>
    <w:p w:rsidR="00000000" w:rsidRPr="00C82C27" w:rsidP="00C82C27">
      <w:pPr>
        <w:pStyle w:val="ListBullet3"/>
      </w:pPr>
      <w:r w:rsidRPr="00C82C27">
        <w:t>displacement</w:t>
      </w:r>
    </w:p>
    <w:p w:rsidR="00000000" w:rsidRPr="00C82C27" w:rsidP="00C82C27">
      <w:pPr>
        <w:pStyle w:val="ListBullet3"/>
      </w:pPr>
      <w:r w:rsidRPr="00C82C27">
        <w:t>compression ratio</w:t>
      </w:r>
    </w:p>
    <w:p w:rsidR="00000000" w:rsidRPr="00C82C27" w:rsidP="00C82C27">
      <w:pPr>
        <w:pStyle w:val="ListBullet3"/>
      </w:pPr>
      <w:r w:rsidRPr="00C82C27">
        <w:t xml:space="preserve">efficiency </w:t>
      </w:r>
    </w:p>
    <w:p w:rsidR="00000000" w:rsidRPr="00C82C27" w:rsidP="00C82C27">
      <w:pPr>
        <w:pStyle w:val="ListBullet2"/>
      </w:pPr>
      <w:r w:rsidRPr="00C82C27">
        <w:t>torque, horsepower and brake horsepower</w:t>
      </w:r>
    </w:p>
    <w:p w:rsidR="00000000" w:rsidRPr="00C82C27" w:rsidP="00C82C27">
      <w:pPr>
        <w:pStyle w:val="ListBullet2"/>
      </w:pPr>
      <w:r w:rsidRPr="00C82C27">
        <w:t>cycles of engine operation:</w:t>
      </w:r>
    </w:p>
    <w:p w:rsidR="00000000" w:rsidRPr="00C82C27" w:rsidP="00C82C27">
      <w:pPr>
        <w:pStyle w:val="ListBullet3"/>
      </w:pPr>
      <w:r w:rsidRPr="00C82C27">
        <w:t>intake stroke</w:t>
      </w:r>
    </w:p>
    <w:p w:rsidR="00000000" w:rsidRPr="00C82C27" w:rsidP="00C82C27">
      <w:pPr>
        <w:pStyle w:val="ListBullet3"/>
      </w:pPr>
      <w:r w:rsidRPr="00C82C27">
        <w:t>compression stroke</w:t>
      </w:r>
    </w:p>
    <w:p w:rsidR="00000000" w:rsidRPr="00C82C27" w:rsidP="00C82C27">
      <w:pPr>
        <w:pStyle w:val="ListBullet3"/>
      </w:pPr>
      <w:r w:rsidRPr="00C82C27">
        <w:t>power stroke</w:t>
      </w:r>
    </w:p>
    <w:p w:rsidR="00000000" w:rsidRPr="00C82C27" w:rsidP="00C82C27">
      <w:pPr>
        <w:pStyle w:val="ListBullet3"/>
      </w:pPr>
      <w:r w:rsidRPr="00C82C27">
        <w:t>exhaust stroke</w:t>
      </w:r>
    </w:p>
    <w:p w:rsidR="00000000" w:rsidRPr="00C82C27" w:rsidP="00C82C27">
      <w:pPr>
        <w:pStyle w:val="ListBullet"/>
      </w:pPr>
      <w:r w:rsidRPr="00C82C27">
        <w:t>principles of operation of engine oil, fuel, lubrication and cooling systems, including:</w:t>
      </w:r>
    </w:p>
    <w:p w:rsidR="00000000" w:rsidRPr="00C82C27" w:rsidP="00C82C27">
      <w:pPr>
        <w:pStyle w:val="ListBullet2"/>
      </w:pPr>
      <w:r w:rsidRPr="00C82C27">
        <w:t xml:space="preserve">function of filters </w:t>
      </w:r>
    </w:p>
    <w:p w:rsidR="00000000" w:rsidRPr="00C82C27" w:rsidP="00C82C27">
      <w:pPr>
        <w:pStyle w:val="ListBullet2"/>
      </w:pPr>
      <w:r w:rsidRPr="00C82C27">
        <w:t>purpose of additives and correct proportions to be used</w:t>
      </w:r>
    </w:p>
    <w:p w:rsidR="00000000" w:rsidRPr="00C82C27" w:rsidP="00C82C27">
      <w:pPr>
        <w:pStyle w:val="ListBullet2"/>
      </w:pPr>
      <w:r w:rsidRPr="00C82C27">
        <w:t>symptoms and effects of contamination, abnormal engine operation and extremes of weather</w:t>
      </w:r>
    </w:p>
    <w:p w:rsidR="00000000" w:rsidRPr="00C82C27" w:rsidP="00C82C27">
      <w:pPr>
        <w:pStyle w:val="ListBullet"/>
      </w:pPr>
      <w:r w:rsidRPr="00C82C27">
        <w:t>role and operation of major engine components, including:</w:t>
      </w:r>
    </w:p>
    <w:p w:rsidR="00000000" w:rsidRPr="00C82C27" w:rsidP="00C82C27">
      <w:pPr>
        <w:pStyle w:val="ListBullet2"/>
      </w:pPr>
      <w:r w:rsidRPr="00C82C27">
        <w:t>timing belt or chain</w:t>
      </w:r>
    </w:p>
    <w:p w:rsidR="00000000" w:rsidRPr="00C82C27" w:rsidP="00C82C27">
      <w:pPr>
        <w:pStyle w:val="ListBullet2"/>
      </w:pPr>
      <w:r w:rsidRPr="00C82C27">
        <w:t>camshaft timing pulley</w:t>
      </w:r>
    </w:p>
    <w:p w:rsidR="00000000" w:rsidRPr="00C82C27" w:rsidP="00C82C27">
      <w:pPr>
        <w:pStyle w:val="ListBullet2"/>
      </w:pPr>
      <w:r w:rsidRPr="00C82C27">
        <w:t>camshaft single and dual</w:t>
      </w:r>
    </w:p>
    <w:p w:rsidR="00000000" w:rsidRPr="00C82C27" w:rsidP="00C82C27">
      <w:pPr>
        <w:pStyle w:val="ListBullet2"/>
      </w:pPr>
      <w:r w:rsidRPr="00C82C27">
        <w:t>rocker arms and shafts</w:t>
      </w:r>
    </w:p>
    <w:p w:rsidR="00000000" w:rsidRPr="00C82C27" w:rsidP="00C82C27">
      <w:pPr>
        <w:pStyle w:val="ListBullet2"/>
      </w:pPr>
      <w:r w:rsidRPr="00C82C27">
        <w:t>intake valves and springs</w:t>
      </w:r>
    </w:p>
    <w:p w:rsidR="00000000" w:rsidRPr="00C82C27" w:rsidP="00C82C27">
      <w:pPr>
        <w:pStyle w:val="ListBullet2"/>
      </w:pPr>
      <w:r w:rsidRPr="00C82C27">
        <w:t>exhaust valves and springs</w:t>
      </w:r>
    </w:p>
    <w:p w:rsidR="00000000" w:rsidRPr="00C82C27" w:rsidP="00C82C27">
      <w:pPr>
        <w:pStyle w:val="ListBullet2"/>
      </w:pPr>
      <w:r w:rsidRPr="00C82C27">
        <w:t>cylinder head</w:t>
      </w:r>
    </w:p>
    <w:p w:rsidR="00000000" w:rsidRPr="00C82C27" w:rsidP="00C82C27">
      <w:pPr>
        <w:pStyle w:val="ListBullet2"/>
      </w:pPr>
      <w:r w:rsidRPr="00C82C27">
        <w:t>crankshaft and crankshaft pulleys, ba</w:t>
      </w:r>
      <w:r w:rsidRPr="00C82C27">
        <w:t>lancer and balance weights and bearing journals</w:t>
      </w:r>
    </w:p>
    <w:p w:rsidR="00000000" w:rsidRPr="00C82C27" w:rsidP="00C82C27">
      <w:pPr>
        <w:pStyle w:val="ListBullet2"/>
      </w:pPr>
      <w:r w:rsidRPr="00C82C27">
        <w:t>flywheels</w:t>
      </w:r>
    </w:p>
    <w:p w:rsidR="00000000" w:rsidRPr="00C82C27" w:rsidP="00C82C27">
      <w:pPr>
        <w:pStyle w:val="ListBullet2"/>
      </w:pPr>
      <w:r w:rsidRPr="00C82C27">
        <w:t>starter ring gear</w:t>
      </w:r>
    </w:p>
    <w:p w:rsidR="00000000" w:rsidRPr="00C82C27" w:rsidP="00C82C27">
      <w:pPr>
        <w:pStyle w:val="ListBullet2"/>
      </w:pPr>
      <w:r w:rsidRPr="00C82C27">
        <w:t>engine block</w:t>
      </w:r>
    </w:p>
    <w:p w:rsidR="00000000" w:rsidRPr="00C82C27" w:rsidP="00C82C27">
      <w:pPr>
        <w:pStyle w:val="ListBullet2"/>
      </w:pPr>
      <w:r w:rsidRPr="00C82C27">
        <w:t>pistons</w:t>
      </w:r>
    </w:p>
    <w:p w:rsidR="00000000" w:rsidRPr="00C82C27" w:rsidP="00C82C27">
      <w:pPr>
        <w:pStyle w:val="ListBullet2"/>
      </w:pPr>
      <w:r w:rsidRPr="00C82C27">
        <w:t>connecting rods</w:t>
      </w:r>
    </w:p>
    <w:p w:rsidR="00000000" w:rsidRPr="00C82C27" w:rsidP="00C82C27">
      <w:pPr>
        <w:pStyle w:val="ListBullet"/>
      </w:pPr>
      <w:r w:rsidRPr="00C82C27">
        <w:t>exhaust system and components.</w:t>
      </w:r>
    </w:p>
    <w:p w:rsidR="00000000" w:rsidRPr="00C82C27" w:rsidP="00C82C27">
      <w:pPr>
        <w:pStyle w:val="AllowPageBreak"/>
      </w:pPr>
    </w:p>
    <w:p w:rsidR="00000000" w:rsidRPr="00C82C27" w:rsidP="00C82C27">
      <w:pPr>
        <w:pStyle w:val="Heading1"/>
      </w:pPr>
      <w:bookmarkStart w:id="4" w:name="O_960157"/>
      <w:bookmarkEnd w:id="4"/>
      <w:r w:rsidRPr="00C82C27">
        <w:t>Assessment Conditions</w:t>
      </w:r>
    </w:p>
    <w:p w:rsidR="00000000" w:rsidRPr="00C82C27" w:rsidP="00C82C27">
      <w:pPr>
        <w:pStyle w:val="ListBullet"/>
      </w:pPr>
      <w:r w:rsidRPr="00C82C27">
        <w:t>Assessors must:</w:t>
      </w:r>
    </w:p>
    <w:p w:rsidR="00000000" w:rsidRPr="00C82C27" w:rsidP="00C82C27">
      <w:pPr>
        <w:pStyle w:val="ListBullet2"/>
      </w:pPr>
      <w:r w:rsidRPr="00C82C27">
        <w:t>have vocational competency in applying knowledge of large combustion engine operations to service and maintenance tasks at least to the level being assessed with relevant industry knowledge and experience</w:t>
      </w:r>
    </w:p>
    <w:p w:rsidR="00000000" w:rsidRPr="00C82C27" w:rsidP="00C82C27">
      <w:pPr>
        <w:pStyle w:val="ListBullet2"/>
      </w:pPr>
      <w:r w:rsidRPr="00C82C27">
        <w:t xml:space="preserve">satisfy the assessor requirements in the </w:t>
      </w:r>
      <w:r w:rsidRPr="00C82C27">
        <w:rPr>
          <w:rStyle w:val="Emphasis"/>
        </w:rPr>
        <w:t xml:space="preserve">Standards </w:t>
      </w:r>
      <w:r w:rsidRPr="00C82C27">
        <w:rPr>
          <w:rStyle w:val="Emphasis"/>
        </w:rPr>
        <w:t xml:space="preserve">for Registered Training Organisations 2015 </w:t>
      </w:r>
      <w:r w:rsidRPr="00C82C27">
        <w:t>or its replacement</w:t>
      </w:r>
      <w:r w:rsidRPr="00C82C27">
        <w:rPr>
          <w:rStyle w:val="Emphasis"/>
        </w:rPr>
        <w:t xml:space="preserve"> </w:t>
      </w:r>
      <w:r w:rsidRPr="00C82C27">
        <w:t xml:space="preserve">and comply with the </w:t>
      </w:r>
      <w:r w:rsidRPr="00C82C27">
        <w:rPr>
          <w:rStyle w:val="Emphasis"/>
        </w:rPr>
        <w:t xml:space="preserve">National Vocational Education and Training Regulator Act 2011, </w:t>
      </w:r>
      <w:r w:rsidRPr="00C82C27">
        <w:t>its replacement</w:t>
      </w:r>
      <w:r w:rsidRPr="00C82C27">
        <w:rPr>
          <w:rStyle w:val="Emphasis"/>
        </w:rPr>
        <w:t xml:space="preserve"> </w:t>
      </w:r>
      <w:r w:rsidRPr="00C82C27">
        <w:t>or equivalent legislation covering VET regulation in a non-referring state/territory as the cas</w:t>
      </w:r>
      <w:r w:rsidRPr="00C82C27">
        <w:t>e requires</w:t>
      </w:r>
    </w:p>
    <w:p w:rsidR="00000000" w:rsidRPr="00C82C27" w:rsidP="00C82C27">
      <w:pPr>
        <w:pStyle w:val="ListBullet"/>
      </w:pPr>
      <w:r w:rsidRPr="00C82C27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C82C27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82C27" w:rsidP="00C82C27">
      <w:pPr>
        <w:pStyle w:val="ListBullet"/>
      </w:pPr>
      <w:r w:rsidRPr="00C82C27">
        <w:t>Conditions for assessme</w:t>
      </w:r>
      <w:r w:rsidRPr="00C82C27">
        <w:t>nt must include access to all tools, equipment, materials and documentation required, including relevant workplace procedures, product and manufacturing specifications</w:t>
      </w:r>
    </w:p>
    <w:p w:rsidR="00000000" w:rsidRPr="00C82C27" w:rsidP="00C82C27">
      <w:pPr>
        <w:pStyle w:val="ListBullet"/>
      </w:pPr>
      <w:r w:rsidRPr="00C82C27">
        <w:t>Assessment processes and techniques must be appropriate to the language, literacy and nu</w:t>
      </w:r>
      <w:r w:rsidRPr="00C82C27">
        <w:t>meracy requirements of the work being performed and the needs of the candidate.</w:t>
      </w:r>
    </w:p>
    <w:p w:rsidR="00000000" w:rsidRPr="00C82C27" w:rsidP="00C82C27">
      <w:pPr>
        <w:pStyle w:val="AllowPageBreak"/>
      </w:pPr>
    </w:p>
    <w:p w:rsidR="00000000" w:rsidRPr="00C82C27" w:rsidP="00C82C27">
      <w:pPr>
        <w:pStyle w:val="Heading1"/>
      </w:pPr>
      <w:bookmarkStart w:id="5" w:name="O_960155"/>
      <w:bookmarkEnd w:id="5"/>
      <w:r w:rsidRPr="00C82C27">
        <w:t>Links</w:t>
      </w:r>
    </w:p>
    <w:p w:rsidR="00000000" w:rsidRPr="00C82C27" w:rsidP="0083241C">
      <w:pPr>
        <w:pStyle w:val="BodyText"/>
      </w:pPr>
      <w:r w:rsidRPr="00C82C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97E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2C27" w:rsidP="00C82C27"/>
    <w:sectPr w:rsidSect="00C82C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27" w:rsidRPr="0083241C" w:rsidP="00832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1C" w:rsidP="00C82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41C" w:rsidP="00C82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241C" w:rsidP="00C82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C27" w:rsidRPr="0083241C" w:rsidP="00832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1C" w:rsidRPr="002D2AF8" w:rsidP="00C82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MEM27020 Apply knowledge of large combustion engine operations to service and maintenance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241C" w:rsidP="00C82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07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7E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0E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C27"/>
  </w:style>
  <w:style w:type="character" w:customStyle="1" w:styleId="Heading1Char">
    <w:name w:val="Heading 1 Char"/>
    <w:basedOn w:val="DefaultParagraphFont"/>
    <w:link w:val="Heading1"/>
    <w:rsid w:val="00C82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C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2C2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2C27"/>
    <w:rPr>
      <w:i/>
    </w:rPr>
  </w:style>
  <w:style w:type="paragraph" w:customStyle="1" w:styleId="SuperHeading">
    <w:name w:val="SuperHeading"/>
    <w:basedOn w:val="Normal"/>
    <w:rsid w:val="00C82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2C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2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C27"/>
    <w:rPr>
      <w:b/>
      <w:spacing w:val="0"/>
    </w:rPr>
  </w:style>
  <w:style w:type="paragraph" w:customStyle="1" w:styleId="SuperTitle">
    <w:name w:val="SuperTitle"/>
    <w:basedOn w:val="Title"/>
    <w:rsid w:val="00C82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C27"/>
  </w:style>
  <w:style w:type="paragraph" w:styleId="TableofFigures">
    <w:name w:val="table of figures"/>
    <w:basedOn w:val="Normal"/>
    <w:next w:val="Normal"/>
    <w:semiHidden/>
    <w:rsid w:val="00C82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C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2C27"/>
    <w:rPr>
      <w:rFonts w:ascii="Wingdings" w:hAnsi="Wingdings"/>
    </w:rPr>
  </w:style>
  <w:style w:type="paragraph" w:customStyle="1" w:styleId="TableHeading">
    <w:name w:val="Table Heading"/>
    <w:basedOn w:val="HeadingBase"/>
    <w:rsid w:val="00C82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C27"/>
    <w:rPr>
      <w:color w:val="0033CC"/>
      <w:u w:val="none"/>
    </w:rPr>
  </w:style>
  <w:style w:type="paragraph" w:customStyle="1" w:styleId="BodyTextRight">
    <w:name w:val="Body Text Right"/>
    <w:basedOn w:val="BodyText"/>
    <w:rsid w:val="00C82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C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C27"/>
    <w:rPr>
      <w:sz w:val="32"/>
    </w:rPr>
  </w:style>
  <w:style w:type="paragraph" w:customStyle="1" w:styleId="HeadingProcedure">
    <w:name w:val="Heading Procedure"/>
    <w:basedOn w:val="HeadingBase"/>
    <w:next w:val="Normal"/>
    <w:rsid w:val="00C82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C27"/>
    <w:pPr>
      <w:spacing w:before="60" w:after="60"/>
    </w:pPr>
  </w:style>
  <w:style w:type="paragraph" w:styleId="ListContinue">
    <w:name w:val="List Continue"/>
    <w:basedOn w:val="List"/>
    <w:rsid w:val="00C82C27"/>
    <w:pPr>
      <w:ind w:firstLine="0"/>
    </w:pPr>
  </w:style>
  <w:style w:type="paragraph" w:customStyle="1" w:styleId="ListNote">
    <w:name w:val="List Note"/>
    <w:basedOn w:val="List"/>
    <w:rsid w:val="00C82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C27"/>
    <w:rPr>
      <w:rFonts w:ascii="Courier New" w:hAnsi="Courier New"/>
    </w:rPr>
  </w:style>
  <w:style w:type="paragraph" w:customStyle="1" w:styleId="NoteBullet">
    <w:name w:val="Note Bullet"/>
    <w:basedOn w:val="Note"/>
    <w:rsid w:val="00C82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C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2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C27"/>
    <w:rPr>
      <w:b/>
      <w:smallCaps/>
    </w:rPr>
  </w:style>
  <w:style w:type="paragraph" w:customStyle="1" w:styleId="TableListNumber">
    <w:name w:val="Table List Number"/>
    <w:basedOn w:val="ListNumber"/>
    <w:rsid w:val="00C82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C27"/>
    <w:pPr>
      <w:numPr>
        <w:numId w:val="10"/>
      </w:numPr>
    </w:pPr>
  </w:style>
  <w:style w:type="paragraph" w:customStyle="1" w:styleId="ListAlpha2">
    <w:name w:val="List Alpha 2"/>
    <w:basedOn w:val="List2"/>
    <w:rsid w:val="00C82C27"/>
    <w:pPr>
      <w:numPr>
        <w:numId w:val="9"/>
      </w:numPr>
    </w:pPr>
  </w:style>
  <w:style w:type="paragraph" w:styleId="List2">
    <w:name w:val="List 2"/>
    <w:basedOn w:val="BodyText"/>
    <w:rsid w:val="00C82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C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2C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2C27"/>
    <w:pPr>
      <w:numPr>
        <w:numId w:val="5"/>
      </w:numPr>
    </w:pPr>
  </w:style>
  <w:style w:type="paragraph" w:styleId="ListContinue2">
    <w:name w:val="List Continue 2"/>
    <w:basedOn w:val="List2"/>
    <w:rsid w:val="00C82C27"/>
    <w:pPr>
      <w:ind w:firstLine="0"/>
    </w:pPr>
  </w:style>
  <w:style w:type="paragraph" w:styleId="ListContinue3">
    <w:name w:val="List Continue 3"/>
    <w:basedOn w:val="List3"/>
    <w:rsid w:val="00C82C27"/>
    <w:pPr>
      <w:ind w:left="1021" w:firstLine="0"/>
    </w:pPr>
  </w:style>
  <w:style w:type="paragraph" w:styleId="ListContinue4">
    <w:name w:val="List Continue 4"/>
    <w:basedOn w:val="List4"/>
    <w:rsid w:val="00C82C27"/>
    <w:pPr>
      <w:ind w:firstLine="0"/>
    </w:pPr>
  </w:style>
  <w:style w:type="paragraph" w:styleId="ListContinue5">
    <w:name w:val="List Continue 5"/>
    <w:basedOn w:val="List5"/>
    <w:rsid w:val="00C82C27"/>
    <w:pPr>
      <w:ind w:firstLine="0"/>
    </w:pPr>
  </w:style>
  <w:style w:type="paragraph" w:styleId="ListNumber3">
    <w:name w:val="List Number 3"/>
    <w:basedOn w:val="List3"/>
    <w:rsid w:val="00C82C27"/>
    <w:pPr>
      <w:numPr>
        <w:numId w:val="6"/>
      </w:numPr>
    </w:pPr>
  </w:style>
  <w:style w:type="paragraph" w:styleId="ListNumber4">
    <w:name w:val="List Number 4"/>
    <w:basedOn w:val="List4"/>
    <w:rsid w:val="00C82C27"/>
    <w:pPr>
      <w:numPr>
        <w:numId w:val="7"/>
      </w:numPr>
    </w:pPr>
  </w:style>
  <w:style w:type="paragraph" w:styleId="ListNumber5">
    <w:name w:val="List Number 5"/>
    <w:basedOn w:val="List5"/>
    <w:rsid w:val="00C82C27"/>
    <w:pPr>
      <w:numPr>
        <w:numId w:val="8"/>
      </w:numPr>
    </w:pPr>
  </w:style>
  <w:style w:type="paragraph" w:styleId="BlockText">
    <w:name w:val="Block Text"/>
    <w:basedOn w:val="Normal"/>
    <w:rsid w:val="00C82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C27"/>
    <w:rPr>
      <w:sz w:val="16"/>
      <w:vertAlign w:val="superscript"/>
    </w:rPr>
  </w:style>
  <w:style w:type="character" w:customStyle="1" w:styleId="Symbols">
    <w:name w:val="Symbols"/>
    <w:basedOn w:val="DefaultParagraphFont"/>
    <w:rsid w:val="00C82C27"/>
    <w:rPr>
      <w:rFonts w:ascii="Symbol" w:hAnsi="Symbol"/>
    </w:rPr>
  </w:style>
  <w:style w:type="character" w:customStyle="1" w:styleId="MenuOptions">
    <w:name w:val="Menu Options"/>
    <w:basedOn w:val="DefaultParagraphFont"/>
    <w:rsid w:val="00C82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C27"/>
    <w:rPr>
      <w:b/>
    </w:rPr>
  </w:style>
  <w:style w:type="character" w:customStyle="1" w:styleId="Underlined">
    <w:name w:val="Underlined"/>
    <w:basedOn w:val="DefaultParagraphFont"/>
    <w:rsid w:val="00C82C27"/>
    <w:rPr>
      <w:u w:val="single"/>
    </w:rPr>
  </w:style>
  <w:style w:type="paragraph" w:customStyle="1" w:styleId="TableBodyTextRight">
    <w:name w:val="Table Body Text Right"/>
    <w:basedOn w:val="TableBodyText"/>
    <w:rsid w:val="00C82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C27"/>
    <w:rPr>
      <w:sz w:val="18"/>
    </w:rPr>
  </w:style>
  <w:style w:type="paragraph" w:customStyle="1" w:styleId="BodySmallRight">
    <w:name w:val="Body Small Right"/>
    <w:basedOn w:val="BodyTextRight"/>
    <w:rsid w:val="00C82C27"/>
    <w:rPr>
      <w:sz w:val="18"/>
      <w:szCs w:val="18"/>
    </w:rPr>
  </w:style>
  <w:style w:type="paragraph" w:customStyle="1" w:styleId="MarginEdition">
    <w:name w:val="Margin Edition"/>
    <w:basedOn w:val="MarginNote"/>
    <w:rsid w:val="00C82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C27"/>
    <w:rPr>
      <w:sz w:val="2"/>
      <w:szCs w:val="2"/>
    </w:rPr>
  </w:style>
  <w:style w:type="character" w:customStyle="1" w:styleId="Small">
    <w:name w:val="Small"/>
    <w:basedOn w:val="DefaultParagraphFont"/>
    <w:rsid w:val="00C82C27"/>
    <w:rPr>
      <w:sz w:val="16"/>
    </w:rPr>
  </w:style>
  <w:style w:type="paragraph" w:customStyle="1" w:styleId="WideTable">
    <w:name w:val="Wide Table"/>
    <w:basedOn w:val="Normal"/>
    <w:rsid w:val="00C82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C27"/>
  </w:style>
  <w:style w:type="paragraph" w:styleId="Quote">
    <w:name w:val="Quote"/>
    <w:basedOn w:val="Heading1"/>
    <w:link w:val="QuoteChar"/>
    <w:qFormat/>
    <w:rsid w:val="00C82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C27"/>
    <w:pPr>
      <w:pageBreakBefore/>
    </w:pPr>
  </w:style>
  <w:style w:type="paragraph" w:customStyle="1" w:styleId="Border">
    <w:name w:val="Border"/>
    <w:basedOn w:val="Normal"/>
    <w:qFormat/>
    <w:rsid w:val="00C82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C27"/>
    <w:rPr>
      <w:u w:val="single"/>
    </w:rPr>
  </w:style>
  <w:style w:type="character" w:customStyle="1" w:styleId="BoldandItalics">
    <w:name w:val="Bold and Italics"/>
    <w:qFormat/>
    <w:rsid w:val="00C82C27"/>
    <w:rPr>
      <w:b/>
      <w:i/>
      <w:u w:val="none"/>
    </w:rPr>
  </w:style>
  <w:style w:type="paragraph" w:styleId="BalloonText">
    <w:name w:val="Balloon Text"/>
    <w:basedOn w:val="Normal"/>
    <w:link w:val="BalloonTextChar"/>
    <w:rsid w:val="00C82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C27"/>
    <w:pPr>
      <w:spacing w:before="0" w:after="0"/>
    </w:pPr>
  </w:style>
  <w:style w:type="paragraph" w:customStyle="1" w:styleId="BodyTextBold">
    <w:name w:val="Body Text Bold"/>
    <w:basedOn w:val="BodyText"/>
    <w:qFormat/>
    <w:rsid w:val="00C82C27"/>
    <w:rPr>
      <w:b/>
    </w:rPr>
  </w:style>
  <w:style w:type="character" w:styleId="Hyperlink">
    <w:name w:val="Hyperlink"/>
    <w:basedOn w:val="DefaultParagraphFont"/>
    <w:uiPriority w:val="99"/>
    <w:unhideWhenUsed/>
    <w:rsid w:val="00832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4018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MEM27020 Apply knowledge of large combustion engine operations to service and maintenance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