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614" w:rsidP="00491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MEM27019 Diagnose, repair and replace diesel engines in stationary and mobile plant</w:t>
      </w:r>
      <w:r>
        <w:fldChar w:fldCharType="end"/>
      </w:r>
    </w:p>
    <w:p w:rsidR="00491614" w:rsidP="00491614">
      <w:pPr>
        <w:pStyle w:val="Version"/>
        <w:sectPr w:rsidSect="001E3E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EF2" w:rsidP="001E3EF2">
      <w:pPr>
        <w:pStyle w:val="SuperHeading"/>
      </w:pPr>
      <w:r w:rsidRPr="001E3EF2">
        <w:t>MEM27019 Diag</w:t>
      </w:r>
      <w:r w:rsidRPr="001E3EF2">
        <w:t>nose, repair and replace diesel engines in stationary and mobile plant</w:t>
      </w:r>
    </w:p>
    <w:p w:rsidR="00000000" w:rsidRPr="001E3EF2" w:rsidP="001E3EF2">
      <w:pPr>
        <w:pStyle w:val="Heading1"/>
      </w:pPr>
      <w:bookmarkStart w:id="1" w:name="O_960141"/>
      <w:bookmarkEnd w:id="1"/>
      <w:r w:rsidRPr="001E3EF2">
        <w:t>Modification History</w:t>
      </w:r>
    </w:p>
    <w:p w:rsidR="00000000" w:rsidRPr="001E3EF2" w:rsidP="00491614">
      <w:pPr>
        <w:pStyle w:val="BodyText"/>
      </w:pPr>
      <w:r w:rsidRPr="001E3EF2">
        <w:t>Release 1: New unit</w:t>
      </w:r>
    </w:p>
    <w:p w:rsidR="00000000" w:rsidRPr="001E3EF2" w:rsidP="001E3EF2">
      <w:pPr>
        <w:pStyle w:val="Heading1"/>
      </w:pPr>
      <w:bookmarkStart w:id="2" w:name="O_960149"/>
      <w:bookmarkEnd w:id="2"/>
      <w:r w:rsidRPr="001E3EF2">
        <w:t>Application</w:t>
      </w:r>
    </w:p>
    <w:p w:rsidR="00000000" w:rsidRPr="001E3EF2" w:rsidP="00491614">
      <w:pPr>
        <w:pStyle w:val="BodyText"/>
      </w:pPr>
      <w:r w:rsidRPr="001E3EF2">
        <w:t>This unit of competency defines the skills and knowledge required to diagnose, repair and replace diesel engines used in mobile and stationary plant and equipment.</w:t>
      </w:r>
    </w:p>
    <w:p w:rsidR="00000000" w:rsidRPr="001E3EF2" w:rsidP="00491614">
      <w:pPr>
        <w:pStyle w:val="BodyText"/>
      </w:pPr>
      <w:r w:rsidRPr="001E3EF2">
        <w:t>It covers the diagnosis of diesel engine operation to determine location and cause of fault</w:t>
      </w:r>
      <w:r w:rsidRPr="001E3EF2">
        <w:t xml:space="preserve">s and whether in situ repair, more specialist investigation or engine removal for off-site repair is required. It includes bottom and top end repair of engines and re-installing repaired or replacement engines into stationary and mobile plant.  </w:t>
      </w:r>
    </w:p>
    <w:p w:rsidR="00000000" w:rsidRPr="001E3EF2" w:rsidP="00491614">
      <w:pPr>
        <w:pStyle w:val="BodyText"/>
      </w:pPr>
      <w:r w:rsidRPr="001E3EF2">
        <w:t>Where rep</w:t>
      </w:r>
      <w:r w:rsidRPr="001E3EF2">
        <w:t>airs to fuel, coolant, electrical and starting, exhaust systems, as well as transmissions and accessories and their components are required, see the appropriate units.</w:t>
      </w:r>
    </w:p>
    <w:p w:rsidR="00000000" w:rsidRPr="001E3EF2" w:rsidP="00491614">
      <w:pPr>
        <w:pStyle w:val="BodyText"/>
      </w:pPr>
      <w:r w:rsidRPr="001E3EF2">
        <w:t xml:space="preserve">No licensing, legislative or certification requirements apply to this unit at the time </w:t>
      </w:r>
      <w:r w:rsidRPr="001E3EF2">
        <w:t>of publication.</w:t>
      </w:r>
    </w:p>
    <w:p w:rsidR="00000000" w:rsidRPr="001E3EF2" w:rsidP="001E3EF2">
      <w:pPr>
        <w:pStyle w:val="BodyText"/>
      </w:pPr>
      <w:r w:rsidRPr="001E3EF2">
        <w:rPr>
          <w:rStyle w:val="SpecialBold"/>
        </w:rPr>
        <w:t>Band</w:t>
      </w:r>
      <w:r w:rsidRPr="001E3EF2">
        <w:t>:</w:t>
      </w:r>
      <w:r w:rsidRPr="001E3EF2">
        <w:tab/>
      </w:r>
      <w:r w:rsidRPr="001E3EF2">
        <w:rPr>
          <w:rStyle w:val="SpecialBold"/>
        </w:rPr>
        <w:t>A</w:t>
      </w:r>
    </w:p>
    <w:p w:rsidR="00000000" w:rsidRPr="001E3EF2" w:rsidP="001E3EF2">
      <w:pPr>
        <w:pStyle w:val="BodyText"/>
      </w:pPr>
      <w:r w:rsidRPr="001E3EF2">
        <w:rPr>
          <w:rStyle w:val="SpecialBold"/>
        </w:rPr>
        <w:t>Unit Weight</w:t>
      </w:r>
      <w:r w:rsidRPr="001E3EF2">
        <w:t>:</w:t>
      </w:r>
      <w:r w:rsidRPr="001E3EF2">
        <w:tab/>
      </w:r>
      <w:r w:rsidRPr="001E3EF2">
        <w:rPr>
          <w:rStyle w:val="SpecialBold"/>
        </w:rPr>
        <w:t>5</w:t>
      </w:r>
    </w:p>
    <w:p w:rsidR="00000000" w:rsidRPr="001E3EF2" w:rsidP="001E3EF2">
      <w:pPr>
        <w:pStyle w:val="AllowPageBreak"/>
      </w:pPr>
    </w:p>
    <w:p w:rsidR="00000000" w:rsidRPr="001E3EF2" w:rsidP="001E3EF2">
      <w:pPr>
        <w:pStyle w:val="Heading1"/>
      </w:pPr>
      <w:bookmarkStart w:id="3" w:name="O_960148"/>
      <w:bookmarkEnd w:id="3"/>
      <w:r w:rsidRPr="001E3EF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6"/>
        <w:gridCol w:w="7486"/>
      </w:tblGrid>
      <w:tr w:rsidTr="001E3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MEM09002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Interpret technical drawing</w:t>
            </w:r>
          </w:p>
        </w:tc>
      </w:tr>
      <w:tr w:rsidTr="001E3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MEM11011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Undertake manual handling</w:t>
            </w:r>
          </w:p>
        </w:tc>
      </w:tr>
      <w:tr w:rsidTr="001E3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MEM12023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Perform engineering measurements</w:t>
            </w:r>
          </w:p>
        </w:tc>
      </w:tr>
      <w:tr w:rsidTr="001E3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MEM13015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Work safely and effectively in manufacturing and engineering</w:t>
            </w:r>
          </w:p>
        </w:tc>
      </w:tr>
      <w:tr w:rsidTr="001E3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MEM16006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Organise and communicate information</w:t>
            </w:r>
          </w:p>
        </w:tc>
      </w:tr>
      <w:tr w:rsidTr="001E3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MEM18001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Use hand tools</w:t>
            </w:r>
          </w:p>
        </w:tc>
      </w:tr>
      <w:tr w:rsidTr="001E3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MEM18002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Use power tools/hand held operations</w:t>
            </w:r>
          </w:p>
        </w:tc>
      </w:tr>
      <w:tr w:rsidTr="001E3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MEM18055</w:t>
            </w: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BodyText"/>
            </w:pPr>
            <w:r w:rsidRPr="001E3EF2">
              <w:t>Dismantle, replace and assemble engineering components</w:t>
            </w:r>
          </w:p>
        </w:tc>
      </w:tr>
    </w:tbl>
    <w:p w:rsidR="00000000" w:rsidRPr="001E3EF2" w:rsidP="001E3EF2">
      <w:pPr>
        <w:pStyle w:val="BodyText"/>
      </w:pPr>
    </w:p>
    <w:p w:rsidR="00000000" w:rsidRPr="001E3EF2" w:rsidP="001E3EF2">
      <w:pPr>
        <w:pStyle w:val="AllowPageBreak"/>
      </w:pPr>
    </w:p>
    <w:p w:rsidR="00000000" w:rsidRPr="001E3EF2" w:rsidP="001E3EF2">
      <w:pPr>
        <w:pStyle w:val="Heading1"/>
      </w:pPr>
      <w:bookmarkStart w:id="4" w:name="O_960147"/>
      <w:bookmarkEnd w:id="4"/>
      <w:r w:rsidRPr="001E3EF2">
        <w:t>Competency Field</w:t>
      </w:r>
    </w:p>
    <w:p w:rsidR="00000000" w:rsidRPr="001E3EF2" w:rsidP="00491614">
      <w:pPr>
        <w:pStyle w:val="BodyText"/>
      </w:pPr>
      <w:r w:rsidRPr="001E3EF2">
        <w:t>Fixed and Mobile Plant</w:t>
      </w:r>
    </w:p>
    <w:p w:rsidR="00000000" w:rsidRPr="001E3EF2" w:rsidP="001E3EF2">
      <w:pPr>
        <w:pStyle w:val="Heading1"/>
      </w:pPr>
      <w:bookmarkStart w:id="5" w:name="O_960145"/>
      <w:bookmarkEnd w:id="5"/>
      <w:r w:rsidRPr="001E3EF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Performance criteria describe the performance needed to demonstrate achievement of the element.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BodyText"/>
            </w:pPr>
            <w:r w:rsidRPr="001E3EF2">
              <w:t>1</w:t>
            </w:r>
          </w:p>
          <w:p w:rsidR="00000000" w:rsidRPr="001E3EF2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BodyText"/>
            </w:pPr>
            <w:r w:rsidRPr="001E3EF2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Follow standard operating procedures (SOPs)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Comply with work health and safety (WHS) requirements at all times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Use appropriate personal protective equipment (PPE) in accordance with SOPs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1.4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Identi</w:t>
            </w:r>
            <w:r w:rsidRPr="001E3EF2">
              <w:t>fy job requirements from specifications, drawings, job sheets or work instructions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BodyText"/>
            </w:pPr>
            <w:r w:rsidRPr="001E3EF2">
              <w:t>2</w:t>
            </w:r>
          </w:p>
          <w:p w:rsidR="00000000" w:rsidRPr="001E3EF2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BodyText"/>
            </w:pPr>
            <w:r w:rsidRPr="001E3EF2">
              <w:rPr>
                <w:rStyle w:val="SpecialBold"/>
              </w:rPr>
              <w:t>Check engine performance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Determine normal engine performance parameters from manufacturer specifications and workplace records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Perform appropriate diagnostic tests for engine and equipment type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 xml:space="preserve">Identify faults from diagnostic test results 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2.4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Determine appropriate action to rectify faults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BodyText"/>
            </w:pPr>
            <w:r w:rsidRPr="001E3EF2">
              <w:t>3</w:t>
            </w:r>
          </w:p>
          <w:p w:rsidR="00000000" w:rsidRPr="001E3EF2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BodyText"/>
            </w:pPr>
            <w:r w:rsidRPr="001E3EF2">
              <w:rPr>
                <w:rStyle w:val="SpecialBold"/>
              </w:rPr>
              <w:t>Remove engine and engine assemblies</w:t>
            </w:r>
          </w:p>
          <w:p w:rsidR="00000000" w:rsidRPr="001E3EF2" w:rsidP="001E3EF2">
            <w:pPr>
              <w:pStyle w:val="BodyText"/>
            </w:pPr>
            <w:r w:rsidRPr="001E3EF2">
              <w:rPr>
                <w:rStyle w:val="SpecialBold"/>
              </w:rPr>
              <w:t xml:space="preserve">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Remove engine and ancillary components according to manufacturer specifications, workplace procedures and WHS and environmental requirements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Tag and record engine and ancillary components according to workplace procedures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 xml:space="preserve">Prepare engine and engine assemblies for repair 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BodyText"/>
            </w:pPr>
            <w:r w:rsidRPr="001E3EF2">
              <w:t>4</w:t>
            </w:r>
          </w:p>
          <w:p w:rsidR="00000000" w:rsidRPr="001E3EF2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BodyText"/>
            </w:pPr>
            <w:r w:rsidRPr="001E3EF2">
              <w:rPr>
                <w:rStyle w:val="SpecialBold"/>
              </w:rPr>
              <w:t>Repair engines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 xml:space="preserve">Interpret characteristics of surface finishes and wear patterns on top and bottom end components 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Assess components for abnormal wear or defects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4.3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Remove top-end components and dismantle block assembly according to manufacturer recommendations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4.4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Select appropriate cleaning solution and procedure, clean and store components not requiring repair ready for reassembly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4.5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Replace or repair faulty</w:t>
            </w:r>
            <w:r w:rsidRPr="001E3EF2">
              <w:t xml:space="preserve"> parts to manufacturer specification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4.6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Test engine and make any required post-repair adjustments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BodyText"/>
            </w:pPr>
            <w:r w:rsidRPr="001E3EF2">
              <w:t>5</w:t>
            </w:r>
          </w:p>
          <w:p w:rsidR="00000000" w:rsidRPr="001E3EF2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BodyText"/>
            </w:pPr>
            <w:r w:rsidRPr="001E3EF2">
              <w:rPr>
                <w:rStyle w:val="SpecialBold"/>
              </w:rPr>
              <w:t>Install repaired or replacement engine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5.1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Locate and fix engine according to manufacturer specifications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5.2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 xml:space="preserve">Refit ancillary components and equipment systems 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5.3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Check and adjust lubricants, coolant, fuel and other required fluids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5.4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Test engine and make any required post-installation adjustments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BodyText"/>
            </w:pPr>
            <w:r w:rsidRPr="001E3EF2">
              <w:t>6</w:t>
            </w:r>
          </w:p>
          <w:p w:rsidR="00000000" w:rsidRPr="001E3EF2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BodyText"/>
            </w:pPr>
            <w:r w:rsidRPr="001E3EF2">
              <w:rPr>
                <w:rStyle w:val="SpecialBold"/>
              </w:rPr>
              <w:t>Undertake completion tasks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6.1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Clean work area and dispose of non-recyclable material according to workplace and environmental requirements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6.2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Collect and store recyclable material in appropriate containers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6.3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 xml:space="preserve">Check and store tools and equipment </w:t>
            </w:r>
          </w:p>
        </w:tc>
      </w:tr>
      <w:tr w:rsidTr="004916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6.4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BodyText"/>
            </w:pPr>
            <w:r w:rsidRPr="001E3EF2">
              <w:t>Document and report engine repair or replacement according to workplace procedures</w:t>
            </w:r>
          </w:p>
        </w:tc>
      </w:tr>
    </w:tbl>
    <w:p w:rsidR="00000000" w:rsidRPr="001E3EF2" w:rsidP="001E3EF2">
      <w:pPr>
        <w:pStyle w:val="BodyText"/>
      </w:pPr>
    </w:p>
    <w:p w:rsidR="00000000" w:rsidRPr="001E3EF2" w:rsidP="001E3EF2">
      <w:pPr>
        <w:pStyle w:val="AllowPageBreak"/>
      </w:pPr>
    </w:p>
    <w:p w:rsidR="00000000" w:rsidRPr="001E3EF2" w:rsidP="001E3EF2">
      <w:pPr>
        <w:pStyle w:val="Heading1"/>
      </w:pPr>
      <w:bookmarkStart w:id="6" w:name="O_960144"/>
      <w:bookmarkEnd w:id="6"/>
      <w:r w:rsidRPr="001E3EF2">
        <w:t>Foundation Skills</w:t>
      </w:r>
    </w:p>
    <w:p w:rsidR="00000000" w:rsidRPr="001E3EF2" w:rsidP="00491614">
      <w:pPr>
        <w:pStyle w:val="BodyText"/>
      </w:pPr>
      <w:r w:rsidRPr="001E3EF2">
        <w:t>This section describes those required skills (reading, writing, oral communication and numeracy) that are essential to workplace perform</w:t>
      </w:r>
      <w:r w:rsidRPr="001E3EF2">
        <w:t xml:space="preserve">ance in this unit of competency.  </w:t>
      </w:r>
    </w:p>
    <w:p w:rsidR="00000000" w:rsidRPr="001E3EF2" w:rsidP="00491614">
      <w:pPr>
        <w:pStyle w:val="BodyText"/>
      </w:pPr>
      <w:r w:rsidRPr="001E3EF2">
        <w:t>Foundation skills essential to performance are explicit in the performance criteria of this unit of competency.</w:t>
      </w:r>
    </w:p>
    <w:p w:rsidR="00000000" w:rsidRPr="001E3EF2" w:rsidP="001E3EF2">
      <w:pPr>
        <w:pStyle w:val="Heading1"/>
      </w:pPr>
      <w:bookmarkStart w:id="7" w:name="O_960143"/>
      <w:bookmarkEnd w:id="7"/>
      <w:r w:rsidRPr="001E3EF2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E3E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t>This field allows for different work environments and conditions that m</w:t>
            </w:r>
            <w:r w:rsidRPr="001E3EF2">
              <w:t>ay 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1E3E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rPr>
                <w:rStyle w:val="SpecialBold"/>
              </w:rPr>
              <w:t>The large diesel engines covered by this unit are used in one or more of the following: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ListBullet"/>
            </w:pPr>
            <w:r w:rsidRPr="001E3EF2">
              <w:t>mobile plant</w:t>
            </w:r>
          </w:p>
          <w:p w:rsidR="00000000" w:rsidRPr="001E3EF2" w:rsidP="001E3EF2">
            <w:pPr>
              <w:pStyle w:val="ListBullet"/>
            </w:pPr>
            <w:r w:rsidRPr="001E3EF2">
              <w:t>agriculture</w:t>
            </w:r>
          </w:p>
          <w:p w:rsidR="00000000" w:rsidRPr="001E3EF2" w:rsidP="001E3EF2">
            <w:pPr>
              <w:pStyle w:val="ListBullet"/>
            </w:pPr>
            <w:r w:rsidRPr="001E3EF2">
              <w:t>forestry</w:t>
            </w:r>
          </w:p>
          <w:p w:rsidR="00000000" w:rsidRPr="001E3EF2" w:rsidP="001E3EF2">
            <w:pPr>
              <w:pStyle w:val="ListBullet"/>
            </w:pPr>
            <w:r w:rsidRPr="001E3EF2">
              <w:t>rail</w:t>
            </w:r>
          </w:p>
          <w:p w:rsidR="00000000" w:rsidRPr="001E3EF2" w:rsidP="001E3EF2">
            <w:pPr>
              <w:pStyle w:val="ListBullet"/>
            </w:pPr>
            <w:r w:rsidRPr="001E3EF2">
              <w:t xml:space="preserve">marine </w:t>
            </w:r>
          </w:p>
          <w:p w:rsidR="00000000" w:rsidRPr="001E3EF2" w:rsidP="001E3EF2">
            <w:pPr>
              <w:pStyle w:val="ListBullet"/>
            </w:pPr>
            <w:r w:rsidRPr="001E3EF2">
              <w:t>other transport operations</w:t>
            </w:r>
          </w:p>
          <w:p w:rsidR="00000000" w:rsidRPr="001E3EF2" w:rsidP="001E3EF2">
            <w:pPr>
              <w:pStyle w:val="ListBullet"/>
            </w:pPr>
            <w:r w:rsidRPr="001E3EF2">
              <w:t>power generation</w:t>
            </w:r>
          </w:p>
          <w:p w:rsidR="00000000" w:rsidRPr="001E3EF2" w:rsidP="001E3EF2">
            <w:pPr>
              <w:pStyle w:val="ListBullet"/>
            </w:pPr>
            <w:r w:rsidRPr="001E3EF2">
              <w:t>air and gas compression</w:t>
            </w:r>
          </w:p>
          <w:p w:rsidR="00000000" w:rsidRPr="001E3EF2" w:rsidP="001E3EF2">
            <w:pPr>
              <w:pStyle w:val="ListBullet"/>
            </w:pPr>
            <w:r w:rsidRPr="001E3EF2">
              <w:t>stand by power</w:t>
            </w:r>
          </w:p>
          <w:p w:rsidR="00000000" w:rsidRPr="001E3EF2" w:rsidP="001E3EF2">
            <w:pPr>
              <w:pStyle w:val="ListBullet"/>
            </w:pPr>
            <w:r w:rsidRPr="001E3EF2">
              <w:t>other industry sectors using large co</w:t>
            </w:r>
            <w:r w:rsidRPr="001E3EF2">
              <w:t>mbustion engines</w:t>
            </w:r>
          </w:p>
          <w:p w:rsidR="00000000" w:rsidP="001E3EF2">
            <w:pPr>
              <w:pStyle w:val="BodyText"/>
              <w:rPr>
                <w:lang w:val="en-NZ"/>
              </w:rPr>
            </w:pPr>
          </w:p>
        </w:tc>
      </w:tr>
      <w:tr w:rsidTr="001E3E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EF2">
            <w:pPr>
              <w:pStyle w:val="BodyText"/>
              <w:rPr>
                <w:lang w:val="en-NZ"/>
              </w:rPr>
            </w:pPr>
            <w:r w:rsidRPr="001E3EF2">
              <w:rPr>
                <w:rStyle w:val="SpecialBold"/>
              </w:rPr>
              <w:t>Actions to rectify faults include one (1) or more of the following: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EF2" w:rsidP="001E3EF2">
            <w:pPr>
              <w:pStyle w:val="ListBullet"/>
            </w:pPr>
            <w:r w:rsidRPr="001E3EF2">
              <w:t>on-site repair, including in an on-site workshop</w:t>
            </w:r>
          </w:p>
          <w:p w:rsidR="00000000" w:rsidRPr="001E3EF2" w:rsidP="001E3EF2">
            <w:pPr>
              <w:pStyle w:val="ListBullet"/>
            </w:pPr>
            <w:r w:rsidRPr="001E3EF2">
              <w:t xml:space="preserve">installation of a new or reconditioned engine  </w:t>
            </w:r>
          </w:p>
          <w:p w:rsidR="00000000" w:rsidRPr="001E3EF2" w:rsidP="001E3EF2">
            <w:pPr>
              <w:pStyle w:val="BodyText"/>
            </w:pPr>
          </w:p>
        </w:tc>
      </w:tr>
    </w:tbl>
    <w:p w:rsidR="00000000" w:rsidRPr="001E3EF2" w:rsidP="001E3EF2">
      <w:pPr>
        <w:pStyle w:val="BodyText"/>
      </w:pPr>
    </w:p>
    <w:p w:rsidR="00000000" w:rsidRPr="001E3EF2" w:rsidP="001E3EF2">
      <w:pPr>
        <w:pStyle w:val="AllowPageBreak"/>
      </w:pPr>
    </w:p>
    <w:p w:rsidR="00000000" w:rsidRPr="001E3EF2" w:rsidP="001E3EF2">
      <w:pPr>
        <w:pStyle w:val="Heading1"/>
      </w:pPr>
      <w:bookmarkStart w:id="8" w:name="O_960142"/>
      <w:bookmarkEnd w:id="8"/>
      <w:r w:rsidRPr="001E3EF2">
        <w:t>Unit Mapping Information</w:t>
      </w:r>
    </w:p>
    <w:p w:rsidR="00000000" w:rsidRPr="001E3EF2" w:rsidP="00491614">
      <w:pPr>
        <w:pStyle w:val="BodyText"/>
      </w:pPr>
      <w:r w:rsidRPr="001E3EF2">
        <w:t>No equivalent unit.</w:t>
      </w:r>
    </w:p>
    <w:p w:rsidR="00000000" w:rsidRPr="001E3EF2" w:rsidP="001E3EF2">
      <w:pPr>
        <w:pStyle w:val="Heading1"/>
      </w:pPr>
      <w:bookmarkStart w:id="9" w:name="O_960135"/>
      <w:bookmarkEnd w:id="9"/>
      <w:r w:rsidRPr="001E3EF2">
        <w:t>Links</w:t>
      </w:r>
    </w:p>
    <w:p w:rsidR="00000000" w:rsidRPr="001E3EF2" w:rsidP="00491614">
      <w:pPr>
        <w:pStyle w:val="BodyText"/>
      </w:pPr>
      <w:r w:rsidRPr="001E3E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05F2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E3EF2" w:rsidP="001E3EF2"/>
    <w:sectPr w:rsidSect="001E3E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E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EF2" w:rsidRPr="00491614" w:rsidP="00491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E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14" w:rsidP="001E3E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614" w:rsidP="001E3E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1614" w:rsidP="001E3E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E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EF2" w:rsidRPr="00491614" w:rsidP="00491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E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14" w:rsidRPr="002D2AF8" w:rsidP="001E3E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MEM27019 Diagnose, repair and replace diesel engines in stationary and mobile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91614" w:rsidP="001E3E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D0D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8690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E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E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E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E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E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E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E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E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E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E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E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EF2"/>
  </w:style>
  <w:style w:type="character" w:customStyle="1" w:styleId="Heading1Char">
    <w:name w:val="Heading 1 Char"/>
    <w:basedOn w:val="DefaultParagraphFont"/>
    <w:link w:val="Heading1"/>
    <w:rsid w:val="001E3E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E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E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E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EF2"/>
    <w:rPr>
      <w:b/>
      <w:spacing w:val="0"/>
    </w:rPr>
  </w:style>
  <w:style w:type="paragraph" w:customStyle="1" w:styleId="SuperHeading">
    <w:name w:val="SuperHeading"/>
    <w:basedOn w:val="Normal"/>
    <w:rsid w:val="001E3E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E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E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E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E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E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E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E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E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E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E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E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E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E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E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E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E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E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E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E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E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E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E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E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E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E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E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E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E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E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E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3EF2"/>
    <w:rPr>
      <w:i/>
    </w:rPr>
  </w:style>
  <w:style w:type="paragraph" w:styleId="Caption">
    <w:name w:val="caption"/>
    <w:basedOn w:val="BodyText"/>
    <w:next w:val="Normal"/>
    <w:qFormat/>
    <w:rsid w:val="001E3E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E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E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EF2"/>
  </w:style>
  <w:style w:type="paragraph" w:styleId="TableofFigures">
    <w:name w:val="table of figures"/>
    <w:basedOn w:val="Normal"/>
    <w:next w:val="Normal"/>
    <w:semiHidden/>
    <w:rsid w:val="001E3E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E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3EF2"/>
    <w:rPr>
      <w:rFonts w:ascii="Wingdings" w:hAnsi="Wingdings"/>
    </w:rPr>
  </w:style>
  <w:style w:type="paragraph" w:customStyle="1" w:styleId="TableHeading">
    <w:name w:val="Table Heading"/>
    <w:basedOn w:val="HeadingBase"/>
    <w:rsid w:val="001E3E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EF2"/>
    <w:rPr>
      <w:color w:val="0033CC"/>
      <w:u w:val="none"/>
    </w:rPr>
  </w:style>
  <w:style w:type="paragraph" w:customStyle="1" w:styleId="BodyTextRight">
    <w:name w:val="Body Text Right"/>
    <w:basedOn w:val="BodyText"/>
    <w:rsid w:val="001E3E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E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E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E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E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E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EF2"/>
    <w:rPr>
      <w:sz w:val="32"/>
    </w:rPr>
  </w:style>
  <w:style w:type="paragraph" w:customStyle="1" w:styleId="HeadingProcedure">
    <w:name w:val="Heading Procedure"/>
    <w:basedOn w:val="HeadingBase"/>
    <w:next w:val="Normal"/>
    <w:rsid w:val="001E3E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EF2"/>
    <w:pPr>
      <w:spacing w:before="60" w:after="60"/>
    </w:pPr>
  </w:style>
  <w:style w:type="paragraph" w:styleId="ListContinue">
    <w:name w:val="List Continue"/>
    <w:basedOn w:val="List"/>
    <w:rsid w:val="001E3EF2"/>
    <w:pPr>
      <w:ind w:firstLine="0"/>
    </w:pPr>
  </w:style>
  <w:style w:type="paragraph" w:customStyle="1" w:styleId="ListNote">
    <w:name w:val="List Note"/>
    <w:basedOn w:val="List"/>
    <w:rsid w:val="001E3E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E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E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EF2"/>
    <w:rPr>
      <w:rFonts w:ascii="Courier New" w:hAnsi="Courier New"/>
    </w:rPr>
  </w:style>
  <w:style w:type="paragraph" w:customStyle="1" w:styleId="NoteBullet">
    <w:name w:val="Note Bullet"/>
    <w:basedOn w:val="Note"/>
    <w:rsid w:val="001E3E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E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E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E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E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3E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E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EF2"/>
    <w:rPr>
      <w:b/>
      <w:smallCaps/>
    </w:rPr>
  </w:style>
  <w:style w:type="paragraph" w:customStyle="1" w:styleId="TableListNumber">
    <w:name w:val="Table List Number"/>
    <w:basedOn w:val="ListNumber"/>
    <w:rsid w:val="001E3E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E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EF2"/>
    <w:pPr>
      <w:numPr>
        <w:numId w:val="8"/>
      </w:numPr>
    </w:pPr>
  </w:style>
  <w:style w:type="paragraph" w:customStyle="1" w:styleId="ListAlpha2">
    <w:name w:val="List Alpha 2"/>
    <w:basedOn w:val="List2"/>
    <w:rsid w:val="001E3EF2"/>
    <w:pPr>
      <w:numPr>
        <w:numId w:val="7"/>
      </w:numPr>
    </w:pPr>
  </w:style>
  <w:style w:type="paragraph" w:styleId="List2">
    <w:name w:val="List 2"/>
    <w:basedOn w:val="BodyText"/>
    <w:rsid w:val="001E3E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E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E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E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E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E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3EF2"/>
    <w:pPr>
      <w:numPr>
        <w:numId w:val="3"/>
      </w:numPr>
    </w:pPr>
  </w:style>
  <w:style w:type="paragraph" w:styleId="ListContinue2">
    <w:name w:val="List Continue 2"/>
    <w:basedOn w:val="List2"/>
    <w:rsid w:val="001E3EF2"/>
    <w:pPr>
      <w:ind w:firstLine="0"/>
    </w:pPr>
  </w:style>
  <w:style w:type="paragraph" w:styleId="ListContinue3">
    <w:name w:val="List Continue 3"/>
    <w:basedOn w:val="List3"/>
    <w:rsid w:val="001E3EF2"/>
    <w:pPr>
      <w:ind w:left="1021" w:firstLine="0"/>
    </w:pPr>
  </w:style>
  <w:style w:type="paragraph" w:styleId="ListContinue4">
    <w:name w:val="List Continue 4"/>
    <w:basedOn w:val="List4"/>
    <w:rsid w:val="001E3EF2"/>
    <w:pPr>
      <w:ind w:firstLine="0"/>
    </w:pPr>
  </w:style>
  <w:style w:type="paragraph" w:styleId="ListContinue5">
    <w:name w:val="List Continue 5"/>
    <w:basedOn w:val="List5"/>
    <w:rsid w:val="001E3EF2"/>
    <w:pPr>
      <w:ind w:firstLine="0"/>
    </w:pPr>
  </w:style>
  <w:style w:type="paragraph" w:styleId="ListNumber3">
    <w:name w:val="List Number 3"/>
    <w:basedOn w:val="List3"/>
    <w:rsid w:val="001E3EF2"/>
    <w:pPr>
      <w:numPr>
        <w:numId w:val="4"/>
      </w:numPr>
    </w:pPr>
  </w:style>
  <w:style w:type="paragraph" w:styleId="ListNumber4">
    <w:name w:val="List Number 4"/>
    <w:basedOn w:val="List4"/>
    <w:rsid w:val="001E3EF2"/>
    <w:pPr>
      <w:numPr>
        <w:numId w:val="5"/>
      </w:numPr>
    </w:pPr>
  </w:style>
  <w:style w:type="paragraph" w:styleId="ListNumber5">
    <w:name w:val="List Number 5"/>
    <w:basedOn w:val="List5"/>
    <w:rsid w:val="001E3EF2"/>
    <w:pPr>
      <w:numPr>
        <w:numId w:val="6"/>
      </w:numPr>
    </w:pPr>
  </w:style>
  <w:style w:type="paragraph" w:styleId="BlockText">
    <w:name w:val="Block Text"/>
    <w:basedOn w:val="Normal"/>
    <w:rsid w:val="001E3E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E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EF2"/>
    <w:rPr>
      <w:sz w:val="16"/>
      <w:vertAlign w:val="superscript"/>
    </w:rPr>
  </w:style>
  <w:style w:type="character" w:customStyle="1" w:styleId="Symbols">
    <w:name w:val="Symbols"/>
    <w:basedOn w:val="DefaultParagraphFont"/>
    <w:rsid w:val="001E3EF2"/>
    <w:rPr>
      <w:rFonts w:ascii="Symbol" w:hAnsi="Symbol"/>
    </w:rPr>
  </w:style>
  <w:style w:type="character" w:customStyle="1" w:styleId="MenuOptions">
    <w:name w:val="Menu Options"/>
    <w:basedOn w:val="DefaultParagraphFont"/>
    <w:rsid w:val="001E3E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EF2"/>
    <w:rPr>
      <w:b/>
    </w:rPr>
  </w:style>
  <w:style w:type="character" w:customStyle="1" w:styleId="Underlined">
    <w:name w:val="Underlined"/>
    <w:basedOn w:val="DefaultParagraphFont"/>
    <w:rsid w:val="001E3EF2"/>
    <w:rPr>
      <w:u w:val="single"/>
    </w:rPr>
  </w:style>
  <w:style w:type="paragraph" w:customStyle="1" w:styleId="TableBodyTextRight">
    <w:name w:val="Table Body Text Right"/>
    <w:basedOn w:val="TableBodyText"/>
    <w:rsid w:val="001E3E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EF2"/>
    <w:rPr>
      <w:sz w:val="18"/>
    </w:rPr>
  </w:style>
  <w:style w:type="paragraph" w:customStyle="1" w:styleId="BodySmallRight">
    <w:name w:val="Body Small Right"/>
    <w:basedOn w:val="BodyTextRight"/>
    <w:rsid w:val="001E3EF2"/>
    <w:rPr>
      <w:sz w:val="18"/>
      <w:szCs w:val="18"/>
    </w:rPr>
  </w:style>
  <w:style w:type="paragraph" w:customStyle="1" w:styleId="MarginEdition">
    <w:name w:val="Margin Edition"/>
    <w:basedOn w:val="MarginNote"/>
    <w:rsid w:val="001E3E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EF2"/>
    <w:rPr>
      <w:sz w:val="2"/>
      <w:szCs w:val="2"/>
    </w:rPr>
  </w:style>
  <w:style w:type="character" w:customStyle="1" w:styleId="Small">
    <w:name w:val="Small"/>
    <w:basedOn w:val="DefaultParagraphFont"/>
    <w:rsid w:val="001E3EF2"/>
    <w:rPr>
      <w:sz w:val="16"/>
    </w:rPr>
  </w:style>
  <w:style w:type="paragraph" w:customStyle="1" w:styleId="WideTable">
    <w:name w:val="Wide Table"/>
    <w:basedOn w:val="Normal"/>
    <w:rsid w:val="001E3E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EF2"/>
  </w:style>
  <w:style w:type="paragraph" w:styleId="Quote">
    <w:name w:val="Quote"/>
    <w:basedOn w:val="Heading1"/>
    <w:link w:val="QuoteChar"/>
    <w:qFormat/>
    <w:rsid w:val="001E3E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E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EF2"/>
    <w:pPr>
      <w:pageBreakBefore/>
    </w:pPr>
  </w:style>
  <w:style w:type="paragraph" w:customStyle="1" w:styleId="Border">
    <w:name w:val="Border"/>
    <w:basedOn w:val="Normal"/>
    <w:qFormat/>
    <w:rsid w:val="001E3E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E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E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E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E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E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E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E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E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EF2"/>
    <w:rPr>
      <w:u w:val="single"/>
    </w:rPr>
  </w:style>
  <w:style w:type="character" w:customStyle="1" w:styleId="BoldandItalics">
    <w:name w:val="Bold and Italics"/>
    <w:qFormat/>
    <w:rsid w:val="001E3EF2"/>
    <w:rPr>
      <w:b/>
      <w:i/>
      <w:u w:val="none"/>
    </w:rPr>
  </w:style>
  <w:style w:type="paragraph" w:styleId="BalloonText">
    <w:name w:val="Balloon Text"/>
    <w:basedOn w:val="Normal"/>
    <w:link w:val="BalloonTextChar"/>
    <w:rsid w:val="001E3E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E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E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E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E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E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EF2"/>
    <w:pPr>
      <w:spacing w:before="0" w:after="0"/>
    </w:pPr>
  </w:style>
  <w:style w:type="paragraph" w:customStyle="1" w:styleId="BodyTextBold">
    <w:name w:val="Body Text Bold"/>
    <w:basedOn w:val="BodyText"/>
    <w:qFormat/>
    <w:rsid w:val="001E3EF2"/>
    <w:rPr>
      <w:b/>
    </w:rPr>
  </w:style>
  <w:style w:type="character" w:styleId="Hyperlink">
    <w:name w:val="Hyperlink"/>
    <w:basedOn w:val="DefaultParagraphFont"/>
    <w:uiPriority w:val="99"/>
    <w:unhideWhenUsed/>
    <w:rsid w:val="00491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4551</Characters>
  <Application>Microsoft Office Word</Application>
  <DocSecurity>0</DocSecurity>
  <Lines>267</Lines>
  <Paragraphs>142</Paragraphs>
  <ScaleCrop>false</ScaleCrop>
  <Company>Author-it Software Corporation Ltd.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MEM27019 Diagnose, repair and replace diesel engines in stationary and mobile plant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