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BA5" w:rsidP="00142BA5">
      <w:pPr>
        <w:pStyle w:val="Title"/>
      </w:pPr>
      <w:r>
        <w:fldChar w:fldCharType="begin"/>
      </w:r>
      <w:r>
        <w:instrText xml:space="preserve"> TITLE   \* MERGEFORMAT </w:instrText>
      </w:r>
      <w:r>
        <w:fldChar w:fldCharType="separate"/>
      </w:r>
      <w:r>
        <w:t>MEM27018 Test, diagnose and rectify mobile and stationary plant external monitoring and control systems</w:t>
      </w:r>
      <w:r>
        <w:fldChar w:fldCharType="end"/>
      </w:r>
    </w:p>
    <w:p w:rsidR="00142BA5" w:rsidP="00142BA5">
      <w:pPr>
        <w:pStyle w:val="Version"/>
        <w:sectPr w:rsidSect="00C064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64EA" w:rsidP="00C064EA">
      <w:pPr>
        <w:pStyle w:val="SuperHeading"/>
      </w:pPr>
      <w:r w:rsidRPr="00C064EA">
        <w:t>MEM27018 Test</w:t>
      </w:r>
      <w:r w:rsidRPr="00C064EA">
        <w:t>, diagnose and rectify mobile and stationary plant external monitoring and control systems</w:t>
      </w:r>
    </w:p>
    <w:p w:rsidR="00000000" w:rsidRPr="00C064EA" w:rsidP="00C064EA">
      <w:pPr>
        <w:pStyle w:val="Heading1"/>
      </w:pPr>
      <w:bookmarkStart w:id="1" w:name="O_960122"/>
      <w:bookmarkEnd w:id="1"/>
      <w:r w:rsidRPr="00C064EA">
        <w:t>Modification History</w:t>
      </w:r>
    </w:p>
    <w:p w:rsidR="00000000" w:rsidRPr="00C064EA" w:rsidP="00142BA5">
      <w:pPr>
        <w:pStyle w:val="BodyText"/>
      </w:pPr>
      <w:r w:rsidRPr="00C064EA">
        <w:t>Release 1: New unit</w:t>
      </w:r>
    </w:p>
    <w:p w:rsidR="00000000" w:rsidRPr="00C064EA" w:rsidP="00C064EA">
      <w:pPr>
        <w:pStyle w:val="Heading1"/>
      </w:pPr>
      <w:bookmarkStart w:id="2" w:name="O_960130"/>
      <w:bookmarkEnd w:id="2"/>
      <w:r w:rsidRPr="00C064EA">
        <w:t>Application</w:t>
      </w:r>
    </w:p>
    <w:p w:rsidR="00000000" w:rsidRPr="00C064EA" w:rsidP="00142BA5">
      <w:pPr>
        <w:pStyle w:val="BodyText"/>
      </w:pPr>
      <w:r w:rsidRPr="00C064EA">
        <w:t>This unit of competency defines the skills and knowledge required to test, diagnose and rectify the systems used on stationary and mobile plant for functions that require communication to and from an external source. It covers installation, service and mai</w:t>
      </w:r>
      <w:r w:rsidRPr="00C064EA">
        <w:t>ntenance, diagnostics and troubleshooting of the on-board components of the communication, reporting and control systems.</w:t>
      </w:r>
    </w:p>
    <w:p w:rsidR="00000000" w:rsidRPr="00C064EA" w:rsidP="00142BA5">
      <w:pPr>
        <w:pStyle w:val="BodyText"/>
      </w:pPr>
      <w:r w:rsidRPr="00C064EA">
        <w:t>No licensing, legislative or certification requirements apply to this unit at the time of publication.</w:t>
      </w:r>
    </w:p>
    <w:p w:rsidR="00000000" w:rsidRPr="00C064EA" w:rsidP="00C064EA">
      <w:pPr>
        <w:pStyle w:val="BodyText"/>
      </w:pPr>
      <w:r w:rsidRPr="00C064EA">
        <w:rPr>
          <w:rStyle w:val="SpecialBold"/>
        </w:rPr>
        <w:t>Band</w:t>
      </w:r>
      <w:r w:rsidRPr="00C064EA">
        <w:t>:</w:t>
      </w:r>
      <w:r w:rsidRPr="00C064EA">
        <w:tab/>
      </w:r>
      <w:r w:rsidRPr="00C064EA">
        <w:rPr>
          <w:rStyle w:val="SpecialBold"/>
        </w:rPr>
        <w:t>B</w:t>
      </w:r>
    </w:p>
    <w:p w:rsidR="00000000" w:rsidRPr="00C064EA" w:rsidP="00C064EA">
      <w:pPr>
        <w:pStyle w:val="BodyText"/>
      </w:pPr>
      <w:r w:rsidRPr="00C064EA">
        <w:rPr>
          <w:rStyle w:val="SpecialBold"/>
        </w:rPr>
        <w:t>Unit Weight</w:t>
      </w:r>
      <w:r w:rsidRPr="00C064EA">
        <w:t>:</w:t>
      </w:r>
      <w:r w:rsidRPr="00C064EA">
        <w:tab/>
      </w:r>
      <w:r w:rsidRPr="00C064EA">
        <w:rPr>
          <w:rStyle w:val="SpecialBold"/>
        </w:rPr>
        <w:t>4</w:t>
      </w:r>
    </w:p>
    <w:p w:rsidR="00000000" w:rsidRPr="00C064EA" w:rsidP="00C064EA">
      <w:pPr>
        <w:pStyle w:val="AllowPageBreak"/>
      </w:pPr>
    </w:p>
    <w:p w:rsidR="00000000" w:rsidRPr="00C064EA" w:rsidP="00C064EA">
      <w:pPr>
        <w:pStyle w:val="Heading1"/>
      </w:pPr>
      <w:bookmarkStart w:id="3" w:name="O_960129"/>
      <w:bookmarkEnd w:id="3"/>
      <w:r w:rsidRPr="00C064EA">
        <w:t>Pre-requisite Unit</w:t>
      </w:r>
    </w:p>
    <w:tbl>
      <w:tblPr>
        <w:tblW w:w="0" w:type="auto"/>
        <w:tblLayout w:type="fixed"/>
        <w:tblCellMar>
          <w:left w:w="62" w:type="dxa"/>
          <w:right w:w="62" w:type="dxa"/>
        </w:tblCellMar>
        <w:tblLook w:val="0000"/>
      </w:tblPr>
      <w:tblGrid>
        <w:gridCol w:w="2223"/>
        <w:gridCol w:w="6919"/>
      </w:tblGrid>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MEM09002</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Interpret technical drawing</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MEM11011</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Undertake manual handling</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MEM12023</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Perform engineering measurements</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MEM13015</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Work safely and effectively in manufacturing and engineering</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MEM16006</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Organise and communicate information</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MEM16008</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Interact with computing technology</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MEM18001</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Use hand tools</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MEM18002</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Use power tools/hand held operations</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MEM18055</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Dismantle, replace and assemble engineering components</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MEM27006</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Diagnose and rectify batter</w:t>
            </w:r>
            <w:r w:rsidRPr="00C064EA">
              <w:t xml:space="preserve">ies, low voltage sensors and circuits </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MEM27016</w:t>
            </w:r>
          </w:p>
        </w:tc>
        <w:tc>
          <w:tcPr>
            <w:tcW w:w="6919"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 xml:space="preserve">Diagnose and maintain electronic controlling systems on mobile and </w:t>
            </w:r>
            <w:r w:rsidRPr="00C064EA">
              <w:t xml:space="preserve">stationary plant </w:t>
            </w:r>
          </w:p>
        </w:tc>
      </w:tr>
      <w:tr w:rsidTr="00C064EA">
        <w:tblPrEx>
          <w:tblW w:w="0" w:type="auto"/>
          <w:tblLayout w:type="fixed"/>
          <w:tblCellMar>
            <w:left w:w="62" w:type="dxa"/>
            <w:right w:w="62" w:type="dxa"/>
          </w:tblCellMar>
          <w:tblLook w:val="0000"/>
        </w:tblPrEx>
        <w:tc>
          <w:tcPr>
            <w:tcW w:w="2223"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MEM27023</w:t>
            </w:r>
          </w:p>
        </w:tc>
        <w:tc>
          <w:tcPr>
            <w:tcW w:w="6919" w:type="dxa"/>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Diagnose and rectify fieldbus circuits in mobile and stationary plant and equipment</w:t>
            </w:r>
          </w:p>
        </w:tc>
      </w:tr>
    </w:tbl>
    <w:p w:rsidR="00000000" w:rsidRPr="00C064EA" w:rsidP="00C064EA">
      <w:pPr>
        <w:pStyle w:val="BodyText"/>
      </w:pPr>
    </w:p>
    <w:p w:rsidR="00000000" w:rsidRPr="00C064EA" w:rsidP="00C064EA">
      <w:pPr>
        <w:pStyle w:val="AllowPageBreak"/>
      </w:pPr>
    </w:p>
    <w:p w:rsidR="00000000" w:rsidRPr="00C064EA" w:rsidP="00C064EA">
      <w:pPr>
        <w:pStyle w:val="Heading1"/>
      </w:pPr>
      <w:bookmarkStart w:id="4" w:name="O_960128"/>
      <w:bookmarkEnd w:id="4"/>
      <w:r w:rsidRPr="00C064EA">
        <w:t>Competency Field</w:t>
      </w:r>
    </w:p>
    <w:p w:rsidR="00000000" w:rsidRPr="00C064EA" w:rsidP="00142BA5">
      <w:pPr>
        <w:pStyle w:val="BodyText"/>
      </w:pPr>
      <w:r w:rsidRPr="00C064EA">
        <w:t>Fixed and Mobile Plant</w:t>
      </w:r>
    </w:p>
    <w:p w:rsidR="00000000" w:rsidRPr="00C064EA" w:rsidP="00C064EA">
      <w:pPr>
        <w:pStyle w:val="Heading1"/>
      </w:pPr>
      <w:bookmarkStart w:id="5" w:name="O_960126"/>
      <w:bookmarkEnd w:id="5"/>
      <w:r w:rsidRPr="00C064EA">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142BA5">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Elements describe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Performance criteria describe the performance needed to demonstrate achievement of the element.</w:t>
            </w:r>
          </w:p>
        </w:tc>
      </w:tr>
      <w:tr w:rsidTr="00142BA5">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1</w:t>
            </w:r>
          </w:p>
          <w:p w:rsidR="00000000" w:rsidRPr="00C064EA">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rPr>
                <w:rStyle w:val="SpecialBold"/>
              </w:rPr>
              <w:t>Determine job requirements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1.1</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Follow standard operating procedures (SOPs)</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1.2</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Comply with work health and safety (WHS) requirements at all times</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1.3</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Use appropriate personal protective equipment (PPE) in accordance with SOPs</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1.4</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Identify job requirements from specifications, drawings, job sheets or work instructions</w:t>
            </w:r>
          </w:p>
        </w:tc>
      </w:tr>
      <w:tr w:rsidTr="00142BA5">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p>
        </w:tc>
      </w:tr>
      <w:tr w:rsidTr="00142BA5">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2</w:t>
            </w:r>
          </w:p>
          <w:p w:rsidR="00000000" w:rsidRPr="00C064EA">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rPr>
                <w:rStyle w:val="SpecialBold"/>
              </w:rPr>
              <w:t>Locate and identify features and purpose of external communication systems</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2.1</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Determine on-board</w:t>
            </w:r>
            <w:r w:rsidRPr="00C064EA">
              <w:t xml:space="preserve"> methods of communication and data exchange with external source</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2.2</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Locate on-board electronic control module (ECMs) associated with external monitoring and control systems</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2.3</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Identify other external monitoring and control system hardware and components</w:t>
            </w:r>
          </w:p>
        </w:tc>
      </w:tr>
      <w:tr w:rsidTr="00142BA5">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p>
        </w:tc>
      </w:tr>
      <w:tr w:rsidTr="00142BA5">
        <w:tblPrEx>
          <w:tblW w:w="9639" w:type="dxa"/>
          <w:tblLayout w:type="fixed"/>
          <w:tblCellMar>
            <w:left w:w="62" w:type="dxa"/>
            <w:right w:w="62" w:type="dxa"/>
          </w:tblCellMar>
          <w:tblLook w:val="0000"/>
        </w:tblPrEx>
        <w:tc>
          <w:tcPr>
            <w:tcW w:w="680"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3</w:t>
            </w:r>
          </w:p>
          <w:p w:rsidR="00000000" w:rsidRPr="00C064EA">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rPr>
                <w:rStyle w:val="SpecialBold"/>
              </w:rPr>
              <w:t>Test external monitoring and control system</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3.1</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Ensure equipment is parked with engine off or in specified safe mode for testing</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3.2</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Check for damage to externally located antennae, sensors and other system components</w:t>
            </w:r>
          </w:p>
        </w:tc>
      </w:tr>
      <w:tr w:rsidTr="00142BA5">
        <w:tblPrEx>
          <w:tblW w:w="9639" w:type="dxa"/>
          <w:tblLayout w:type="fixed"/>
          <w:tblCellMar>
            <w:left w:w="62" w:type="dxa"/>
            <w:right w:w="62" w:type="dxa"/>
          </w:tblCellMar>
          <w:tblLook w:val="0000"/>
        </w:tblPrEx>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3.3</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 xml:space="preserve">Review previous records </w:t>
            </w:r>
          </w:p>
        </w:tc>
      </w:tr>
      <w:tr w:rsidTr="00142BA5">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3.4</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Identify location of service ports and other test locations and connect laptop or test equipment</w:t>
            </w:r>
          </w:p>
        </w:tc>
      </w:tr>
      <w:tr w:rsidTr="00142BA5">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3.5</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Run specified test procedure or program to access data on system and plant performance</w:t>
            </w:r>
          </w:p>
        </w:tc>
      </w:tr>
      <w:tr w:rsidTr="00142BA5">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3.6</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Identify faults and determine if related to on-board component or ECM fault</w:t>
            </w:r>
          </w:p>
        </w:tc>
      </w:tr>
      <w:tr w:rsidTr="00142BA5">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3.7</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Analyse information from tests and test equipment and identify faults</w:t>
            </w:r>
          </w:p>
        </w:tc>
      </w:tr>
      <w:tr w:rsidTr="00142BA5">
        <w:tblPrEx>
          <w:tblW w:w="9639" w:type="dxa"/>
          <w:tblLayout w:type="fixed"/>
          <w:tblCellMar>
            <w:left w:w="62" w:type="dxa"/>
            <w:right w:w="62" w:type="dxa"/>
          </w:tblCellMar>
          <w:tblLook w:val="0000"/>
        </w:tblPrEx>
        <w:trPr>
          <w:trHeight w:val="626"/>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3.8</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Tr</w:t>
            </w:r>
            <w:r w:rsidRPr="00C064EA">
              <w:t>ace on-board faults to root cause</w:t>
            </w:r>
          </w:p>
        </w:tc>
      </w:tr>
      <w:tr w:rsidTr="00142BA5">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3.9</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Report off-board faults in system according to SOP’s</w:t>
            </w:r>
          </w:p>
        </w:tc>
      </w:tr>
      <w:tr w:rsidTr="00142BA5">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p>
        </w:tc>
      </w:tr>
      <w:tr w:rsidTr="00142BA5">
        <w:tblPrEx>
          <w:tblW w:w="9639" w:type="dxa"/>
          <w:tblLayout w:type="fixed"/>
          <w:tblCellMar>
            <w:left w:w="62" w:type="dxa"/>
            <w:right w:w="62" w:type="dxa"/>
          </w:tblCellMar>
          <w:tblLook w:val="0000"/>
        </w:tblPrEx>
        <w:trPr>
          <w:trHeight w:val="433"/>
        </w:trPr>
        <w:tc>
          <w:tcPr>
            <w:tcW w:w="680"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4</w:t>
            </w:r>
          </w:p>
          <w:p w:rsidR="00000000" w:rsidRPr="00C064EA">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rPr>
                <w:rStyle w:val="SpecialBold"/>
              </w:rPr>
              <w:t xml:space="preserve">Rectify on-board faults </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4.1</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Repair or rectify faulty system components</w:t>
            </w:r>
          </w:p>
        </w:tc>
      </w:tr>
      <w:tr w:rsidTr="00142BA5">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4.2</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 xml:space="preserve">Adjust program settings to workplace and manufacturer specifications for program related faults </w:t>
            </w:r>
          </w:p>
        </w:tc>
      </w:tr>
      <w:tr w:rsidTr="00142BA5">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4.3</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Report continued program faults according to workplace procedures</w:t>
            </w:r>
          </w:p>
        </w:tc>
      </w:tr>
      <w:tr w:rsidTr="00142BA5">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4.4</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Adjust, recalibrate or replace faulty sensors, aerials and antennae</w:t>
            </w:r>
          </w:p>
        </w:tc>
      </w:tr>
      <w:tr w:rsidTr="00142BA5">
        <w:tblPrEx>
          <w:tblW w:w="9639" w:type="dxa"/>
          <w:tblLayout w:type="fixed"/>
          <w:tblCellMar>
            <w:left w:w="62" w:type="dxa"/>
            <w:right w:w="62" w:type="dxa"/>
          </w:tblCellMar>
          <w:tblLook w:val="0000"/>
        </w:tblPrEx>
        <w:trPr>
          <w:trHeight w:val="433"/>
        </w:trPr>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p>
        </w:tc>
      </w:tr>
      <w:tr w:rsidTr="00142BA5">
        <w:tblPrEx>
          <w:tblW w:w="9639" w:type="dxa"/>
          <w:tblLayout w:type="fixed"/>
          <w:tblCellMar>
            <w:left w:w="62" w:type="dxa"/>
            <w:right w:w="62" w:type="dxa"/>
          </w:tblCellMar>
          <w:tblLook w:val="0000"/>
        </w:tblPrEx>
        <w:trPr>
          <w:trHeight w:val="433"/>
        </w:trPr>
        <w:tc>
          <w:tcPr>
            <w:tcW w:w="680"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5</w:t>
            </w:r>
          </w:p>
          <w:p w:rsidR="00000000" w:rsidRPr="00C064EA">
            <w:pPr>
              <w:pStyle w:val="BodyText"/>
              <w:keepLines w:val="0"/>
            </w:pPr>
          </w:p>
        </w:tc>
        <w:tc>
          <w:tcPr>
            <w:tcW w:w="2155" w:type="dxa"/>
            <w:vMerge w:val="restart"/>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rPr>
                <w:rStyle w:val="SpecialBold"/>
              </w:rPr>
              <w:t>Re-test system and document work</w:t>
            </w:r>
          </w:p>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5.1</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Re-test equipment external monitoring and control system to ensure compliance with specifications and workplace needs</w:t>
            </w:r>
          </w:p>
        </w:tc>
      </w:tr>
      <w:tr w:rsidTr="00142BA5">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5.2</w:t>
            </w:r>
          </w:p>
        </w:tc>
        <w:tc>
          <w:tcPr>
            <w:tcW w:w="6124"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Undertake any required final adjustments</w:t>
            </w:r>
          </w:p>
        </w:tc>
      </w:tr>
      <w:tr w:rsidTr="00142BA5">
        <w:tblPrEx>
          <w:tblW w:w="9639" w:type="dxa"/>
          <w:tblLayout w:type="fixed"/>
          <w:tblCellMar>
            <w:left w:w="62" w:type="dxa"/>
            <w:right w:w="62" w:type="dxa"/>
          </w:tblCellMar>
          <w:tblLook w:val="0000"/>
        </w:tblPrEx>
        <w:trPr>
          <w:trHeight w:val="433"/>
        </w:trPr>
        <w:tc>
          <w:tcPr>
            <w:tcW w:w="68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5.3</w:t>
            </w:r>
          </w:p>
        </w:tc>
        <w:tc>
          <w:tcPr>
            <w:tcW w:w="6124" w:type="dxa"/>
            <w:tcBorders>
              <w:top w:val="nil"/>
              <w:left w:val="nil"/>
              <w:bottom w:val="nil"/>
              <w:right w:val="nil"/>
            </w:tcBorders>
            <w:tcMar>
              <w:top w:w="0" w:type="dxa"/>
              <w:left w:w="62" w:type="dxa"/>
              <w:bottom w:w="0" w:type="dxa"/>
              <w:right w:w="62" w:type="dxa"/>
            </w:tcMar>
          </w:tcPr>
          <w:p w:rsidR="00000000" w:rsidRPr="00C064EA" w:rsidP="00C064EA">
            <w:pPr>
              <w:pStyle w:val="BodyText"/>
            </w:pPr>
            <w:r w:rsidRPr="00C064EA">
              <w:t>Document work undertaken in accordance with procedures</w:t>
            </w:r>
          </w:p>
        </w:tc>
      </w:tr>
    </w:tbl>
    <w:p w:rsidR="00000000" w:rsidRPr="00C064EA" w:rsidP="00C064EA">
      <w:pPr>
        <w:pStyle w:val="BodyText"/>
      </w:pPr>
    </w:p>
    <w:p w:rsidR="00000000" w:rsidRPr="00C064EA" w:rsidP="00C064EA">
      <w:pPr>
        <w:pStyle w:val="AllowPageBreak"/>
      </w:pPr>
    </w:p>
    <w:p w:rsidR="00000000" w:rsidRPr="00C064EA" w:rsidP="00C064EA">
      <w:pPr>
        <w:pStyle w:val="Heading1"/>
      </w:pPr>
      <w:bookmarkStart w:id="6" w:name="O_960125"/>
      <w:bookmarkEnd w:id="6"/>
      <w:r w:rsidRPr="00C064EA">
        <w:t>Foundation Skills</w:t>
      </w:r>
    </w:p>
    <w:p w:rsidR="00000000" w:rsidRPr="00C064EA" w:rsidP="00142BA5">
      <w:pPr>
        <w:pStyle w:val="BodyText"/>
      </w:pPr>
      <w:r w:rsidRPr="00C064EA">
        <w:t>This section describes those required skills (reading, writing, oral communication and numeracy) that are essential to workplace performance in this unit of compete</w:t>
      </w:r>
      <w:r w:rsidRPr="00C064EA">
        <w:t xml:space="preserve">ncy.  </w:t>
      </w:r>
    </w:p>
    <w:p w:rsidR="00000000" w:rsidRPr="00C064EA" w:rsidP="00142BA5">
      <w:pPr>
        <w:pStyle w:val="BodyText"/>
      </w:pPr>
      <w:r w:rsidRPr="00C064EA">
        <w:t>Foundation skills essential to performance are explicit in the performance criteria of this unit of competency.</w:t>
      </w:r>
    </w:p>
    <w:p w:rsidR="00000000" w:rsidRPr="00C064EA" w:rsidP="00C064EA">
      <w:pPr>
        <w:pStyle w:val="Heading1"/>
      </w:pPr>
      <w:bookmarkStart w:id="7" w:name="O_960124"/>
      <w:bookmarkEnd w:id="7"/>
      <w:r w:rsidRPr="00C064EA">
        <w:t>Range of Conditions</w:t>
      </w:r>
    </w:p>
    <w:tbl>
      <w:tblPr>
        <w:tblW w:w="0" w:type="auto"/>
        <w:tblLayout w:type="fixed"/>
        <w:tblCellMar>
          <w:left w:w="62" w:type="dxa"/>
          <w:right w:w="62" w:type="dxa"/>
        </w:tblCellMar>
        <w:tblLook w:val="0000"/>
      </w:tblPr>
      <w:tblGrid>
        <w:gridCol w:w="2641"/>
        <w:gridCol w:w="6449"/>
      </w:tblGrid>
      <w:tr w:rsidTr="00C064EA">
        <w:tblPrEx>
          <w:tblW w:w="0" w:type="auto"/>
          <w:tblLayout w:type="fixed"/>
          <w:tblCellMar>
            <w:left w:w="62" w:type="dxa"/>
            <w:right w:w="62" w:type="dxa"/>
          </w:tblCellMar>
          <w:tblLook w:val="0000"/>
        </w:tblPrEx>
        <w:trPr>
          <w:tblHeader/>
        </w:trPr>
        <w:tc>
          <w:tcPr>
            <w:tcW w:w="9090" w:type="dxa"/>
            <w:gridSpan w:val="2"/>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t>This field allows for different work environments and conditions that may affect performance. Essen</w:t>
            </w:r>
            <w:r w:rsidRPr="00C064EA">
              <w:t>tial operating conditions that may be present (depending on the work situation, needs of the candidate, accessibility of the item, and local industry and regional contexts) are included.</w:t>
            </w:r>
          </w:p>
        </w:tc>
      </w:tr>
      <w:tr w:rsidTr="00C064EA">
        <w:tblPrEx>
          <w:tblW w:w="0" w:type="auto"/>
          <w:tblLayout w:type="fixed"/>
          <w:tblCellMar>
            <w:left w:w="62" w:type="dxa"/>
            <w:right w:w="62" w:type="dxa"/>
          </w:tblCellMar>
          <w:tblLook w:val="0000"/>
        </w:tblPrEx>
        <w:trPr>
          <w:trHeight w:val="1798"/>
        </w:trPr>
        <w:tc>
          <w:tcPr>
            <w:tcW w:w="2641"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rPr>
                <w:rStyle w:val="SpecialBold"/>
              </w:rPr>
              <w:t>The systems and equipment covered by this unit are found in stationary and mobile plant used in one or more of the following:</w:t>
            </w:r>
          </w:p>
        </w:tc>
        <w:tc>
          <w:tcPr>
            <w:tcW w:w="6449" w:type="dxa"/>
            <w:tcBorders>
              <w:top w:val="nil"/>
              <w:left w:val="nil"/>
              <w:bottom w:val="nil"/>
              <w:right w:val="nil"/>
            </w:tcBorders>
            <w:tcMar>
              <w:top w:w="0" w:type="dxa"/>
              <w:left w:w="62" w:type="dxa"/>
              <w:bottom w:w="0" w:type="dxa"/>
              <w:right w:w="62" w:type="dxa"/>
            </w:tcMar>
          </w:tcPr>
          <w:p w:rsidR="00000000" w:rsidRPr="00C064EA" w:rsidP="00C064EA">
            <w:pPr>
              <w:pStyle w:val="ListBullet"/>
            </w:pPr>
            <w:r w:rsidRPr="00C064EA">
              <w:t>mining</w:t>
            </w:r>
          </w:p>
          <w:p w:rsidR="00000000" w:rsidRPr="00C064EA" w:rsidP="00C064EA">
            <w:pPr>
              <w:pStyle w:val="ListBullet"/>
            </w:pPr>
            <w:r w:rsidRPr="00C064EA">
              <w:t>agriculture</w:t>
            </w:r>
          </w:p>
          <w:p w:rsidR="00000000" w:rsidRPr="00C064EA" w:rsidP="00C064EA">
            <w:pPr>
              <w:pStyle w:val="ListBullet"/>
            </w:pPr>
            <w:r w:rsidRPr="00C064EA">
              <w:t>forestry</w:t>
            </w:r>
          </w:p>
          <w:p w:rsidR="00000000" w:rsidRPr="00C064EA" w:rsidP="00C064EA">
            <w:pPr>
              <w:pStyle w:val="ListBullet"/>
            </w:pPr>
            <w:r w:rsidRPr="00C064EA">
              <w:t>construction</w:t>
            </w:r>
          </w:p>
          <w:p w:rsidR="00000000" w:rsidP="00C064EA">
            <w:pPr>
              <w:pStyle w:val="ListBullet"/>
              <w:rPr>
                <w:lang w:val="en-NZ"/>
              </w:rPr>
            </w:pPr>
            <w:r w:rsidRPr="00C064EA">
              <w:t>transport industries</w:t>
            </w:r>
          </w:p>
        </w:tc>
      </w:tr>
      <w:tr w:rsidTr="00C064EA">
        <w:tblPrEx>
          <w:tblW w:w="0" w:type="auto"/>
          <w:tblLayout w:type="fixed"/>
          <w:tblCellMar>
            <w:left w:w="62" w:type="dxa"/>
            <w:right w:w="62" w:type="dxa"/>
          </w:tblCellMar>
          <w:tblLook w:val="0000"/>
        </w:tblPrEx>
        <w:trPr>
          <w:trHeight w:val="3693"/>
        </w:trPr>
        <w:tc>
          <w:tcPr>
            <w:tcW w:w="2641"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rPr>
                <w:rStyle w:val="SpecialBold"/>
              </w:rPr>
              <w:t>External monitoring and control systems include one (1) or more of</w:t>
            </w:r>
            <w:r w:rsidRPr="00C064EA">
              <w:rPr>
                <w:rStyle w:val="SpecialBold"/>
              </w:rPr>
              <w:t xml:space="preserve"> the following:</w:t>
            </w:r>
          </w:p>
        </w:tc>
        <w:tc>
          <w:tcPr>
            <w:tcW w:w="6449" w:type="dxa"/>
            <w:tcBorders>
              <w:top w:val="nil"/>
              <w:left w:val="nil"/>
              <w:bottom w:val="nil"/>
              <w:right w:val="nil"/>
            </w:tcBorders>
            <w:tcMar>
              <w:top w:w="0" w:type="dxa"/>
              <w:left w:w="62" w:type="dxa"/>
              <w:bottom w:w="0" w:type="dxa"/>
              <w:right w:w="62" w:type="dxa"/>
            </w:tcMar>
          </w:tcPr>
          <w:p w:rsidR="00000000" w:rsidRPr="00C064EA" w:rsidP="00C064EA">
            <w:pPr>
              <w:pStyle w:val="ListBullet"/>
            </w:pPr>
            <w:r w:rsidRPr="00C064EA">
              <w:t>integrated original equipment manufacturer (OEM) management and monitoring systems</w:t>
            </w:r>
          </w:p>
          <w:p w:rsidR="00000000" w:rsidRPr="00C064EA" w:rsidP="00C064EA">
            <w:pPr>
              <w:pStyle w:val="ListBullet"/>
            </w:pPr>
            <w:r w:rsidRPr="00C064EA">
              <w:t>bolt on systems</w:t>
            </w:r>
          </w:p>
          <w:p w:rsidR="00000000" w:rsidRPr="00C064EA" w:rsidP="00C064EA">
            <w:pPr>
              <w:pStyle w:val="ListBullet"/>
            </w:pPr>
            <w:r w:rsidRPr="00C064EA">
              <w:t>remote control and guidance systems, including on and off site remote control systems</w:t>
            </w:r>
          </w:p>
          <w:p w:rsidR="00000000" w:rsidRPr="00C064EA" w:rsidP="00C064EA">
            <w:pPr>
              <w:pStyle w:val="ListBullet"/>
            </w:pPr>
            <w:r w:rsidRPr="00C064EA">
              <w:t>single equipment system telemetry and monitoring systems</w:t>
            </w:r>
          </w:p>
          <w:p w:rsidR="00000000" w:rsidRPr="00C064EA" w:rsidP="00C064EA">
            <w:pPr>
              <w:pStyle w:val="ListBullet"/>
            </w:pPr>
            <w:r w:rsidRPr="00C064EA">
              <w:t>multi-mode systems allowing choice of operator control, semi-autonomous and fully autonomous control</w:t>
            </w:r>
          </w:p>
          <w:p w:rsidR="00000000" w:rsidRPr="00C064EA" w:rsidP="00C064EA">
            <w:pPr>
              <w:pStyle w:val="ListBullet"/>
            </w:pPr>
            <w:r w:rsidRPr="00C064EA">
              <w:t>load and yield management and monitoring</w:t>
            </w:r>
          </w:p>
          <w:p w:rsidR="00000000" w:rsidRPr="00C064EA" w:rsidP="00C064EA">
            <w:pPr>
              <w:pStyle w:val="ListBullet"/>
            </w:pPr>
            <w:r w:rsidRPr="00C064EA">
              <w:t xml:space="preserve">equipment condition monitoring and reporting systems  </w:t>
            </w:r>
          </w:p>
          <w:p w:rsidR="00000000" w:rsidP="00C064EA">
            <w:pPr>
              <w:pStyle w:val="ListBullet"/>
              <w:rPr>
                <w:lang w:val="en-NZ"/>
              </w:rPr>
            </w:pPr>
            <w:r w:rsidRPr="00C064EA">
              <w:t>sa</w:t>
            </w:r>
            <w:r w:rsidRPr="00C064EA">
              <w:t>fety related systems, including proximity awareness and collision avoidance systems</w:t>
            </w:r>
          </w:p>
        </w:tc>
      </w:tr>
      <w:tr w:rsidTr="00C064EA">
        <w:tblPrEx>
          <w:tblW w:w="0" w:type="auto"/>
          <w:tblLayout w:type="fixed"/>
          <w:tblCellMar>
            <w:left w:w="62" w:type="dxa"/>
            <w:right w:w="62" w:type="dxa"/>
          </w:tblCellMar>
          <w:tblLook w:val="0000"/>
        </w:tblPrEx>
        <w:trPr>
          <w:trHeight w:val="2119"/>
        </w:trPr>
        <w:tc>
          <w:tcPr>
            <w:tcW w:w="2641"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rPr>
                <w:rStyle w:val="SpecialBold"/>
              </w:rPr>
              <w:t>Communication and data exchange method includes one or more of the following:</w:t>
            </w:r>
          </w:p>
        </w:tc>
        <w:tc>
          <w:tcPr>
            <w:tcW w:w="6449" w:type="dxa"/>
            <w:tcBorders>
              <w:top w:val="nil"/>
              <w:left w:val="nil"/>
              <w:bottom w:val="nil"/>
              <w:right w:val="nil"/>
            </w:tcBorders>
            <w:tcMar>
              <w:top w:w="0" w:type="dxa"/>
              <w:left w:w="62" w:type="dxa"/>
              <w:bottom w:w="0" w:type="dxa"/>
              <w:right w:w="62" w:type="dxa"/>
            </w:tcMar>
          </w:tcPr>
          <w:p w:rsidR="00000000" w:rsidRPr="00C064EA" w:rsidP="00C064EA">
            <w:pPr>
              <w:pStyle w:val="ListBullet"/>
            </w:pPr>
            <w:r w:rsidRPr="00C064EA">
              <w:t>satellite</w:t>
            </w:r>
          </w:p>
          <w:p w:rsidR="00000000" w:rsidRPr="00C064EA" w:rsidP="00C064EA">
            <w:pPr>
              <w:pStyle w:val="ListBullet"/>
            </w:pPr>
            <w:r w:rsidRPr="00C064EA">
              <w:t>Wi-Fi</w:t>
            </w:r>
          </w:p>
          <w:p w:rsidR="00000000" w:rsidRPr="00C064EA" w:rsidP="00C064EA">
            <w:pPr>
              <w:pStyle w:val="ListBullet"/>
            </w:pPr>
            <w:r w:rsidRPr="00C064EA">
              <w:t>cellular</w:t>
            </w:r>
          </w:p>
          <w:p w:rsidR="00000000" w:rsidRPr="00C064EA" w:rsidP="00C064EA">
            <w:pPr>
              <w:pStyle w:val="ListBullet"/>
            </w:pPr>
            <w:r w:rsidRPr="00C064EA">
              <w:t>radio</w:t>
            </w:r>
          </w:p>
          <w:p w:rsidR="00000000" w:rsidRPr="00C064EA" w:rsidP="00C064EA">
            <w:pPr>
              <w:pStyle w:val="ListBullet"/>
            </w:pPr>
            <w:r w:rsidRPr="00C064EA">
              <w:t>global positioning system (GPS)</w:t>
            </w:r>
          </w:p>
          <w:p w:rsidR="00000000" w:rsidP="00C064EA">
            <w:pPr>
              <w:pStyle w:val="ListBullet"/>
              <w:rPr>
                <w:lang w:val="en-NZ"/>
              </w:rPr>
            </w:pPr>
            <w:r w:rsidRPr="00C064EA">
              <w:t>laser</w:t>
            </w:r>
          </w:p>
        </w:tc>
      </w:tr>
      <w:tr w:rsidTr="00C064EA">
        <w:tblPrEx>
          <w:tblW w:w="0" w:type="auto"/>
          <w:tblLayout w:type="fixed"/>
          <w:tblCellMar>
            <w:left w:w="62" w:type="dxa"/>
            <w:right w:w="62" w:type="dxa"/>
          </w:tblCellMar>
          <w:tblLook w:val="0000"/>
        </w:tblPrEx>
        <w:trPr>
          <w:trHeight w:val="6850"/>
        </w:trPr>
        <w:tc>
          <w:tcPr>
            <w:tcW w:w="2641"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rPr>
                <w:rStyle w:val="SpecialBold"/>
              </w:rPr>
              <w:t>Hardware and components include one (1) or more of the following</w:t>
            </w:r>
          </w:p>
        </w:tc>
        <w:tc>
          <w:tcPr>
            <w:tcW w:w="6449" w:type="dxa"/>
            <w:tcBorders>
              <w:top w:val="nil"/>
              <w:left w:val="nil"/>
              <w:bottom w:val="nil"/>
              <w:right w:val="nil"/>
            </w:tcBorders>
            <w:tcMar>
              <w:top w:w="0" w:type="dxa"/>
              <w:left w:w="62" w:type="dxa"/>
              <w:bottom w:w="0" w:type="dxa"/>
              <w:right w:w="62" w:type="dxa"/>
            </w:tcMar>
          </w:tcPr>
          <w:p w:rsidR="00000000" w:rsidRPr="00C064EA" w:rsidP="00C064EA">
            <w:pPr>
              <w:pStyle w:val="ListBullet"/>
            </w:pPr>
            <w:r w:rsidRPr="00C064EA">
              <w:t>on-board electronic control modules (ECMs)</w:t>
            </w:r>
          </w:p>
          <w:p w:rsidR="00000000" w:rsidRPr="00C064EA" w:rsidP="00C064EA">
            <w:pPr>
              <w:pStyle w:val="ListBullet"/>
            </w:pPr>
            <w:r w:rsidRPr="00C064EA">
              <w:t>connectors</w:t>
            </w:r>
          </w:p>
          <w:p w:rsidR="00000000" w:rsidRPr="00C064EA" w:rsidP="00C064EA">
            <w:pPr>
              <w:pStyle w:val="ListBullet"/>
            </w:pPr>
            <w:r w:rsidRPr="00C064EA">
              <w:t>memory and communication interfaces</w:t>
            </w:r>
          </w:p>
          <w:p w:rsidR="00000000" w:rsidRPr="00C064EA" w:rsidP="00C064EA">
            <w:pPr>
              <w:pStyle w:val="ListBullet"/>
            </w:pPr>
            <w:r w:rsidRPr="00C064EA">
              <w:t>ethernet connectors</w:t>
            </w:r>
          </w:p>
          <w:p w:rsidR="00000000" w:rsidRPr="00C064EA" w:rsidP="00C064EA">
            <w:pPr>
              <w:pStyle w:val="ListBullet"/>
            </w:pPr>
            <w:r w:rsidRPr="00C064EA">
              <w:t>broadband transmitter/receiver (could be built into other hardware e.g. a PC)</w:t>
            </w:r>
          </w:p>
          <w:p w:rsidR="00000000" w:rsidRPr="00C064EA" w:rsidP="00C064EA">
            <w:pPr>
              <w:pStyle w:val="ListBullet"/>
            </w:pPr>
            <w:r w:rsidRPr="00C064EA">
              <w:t>ra</w:t>
            </w:r>
            <w:r w:rsidRPr="00C064EA">
              <w:t>dio frequency (RF) transmitter/receiver</w:t>
            </w:r>
          </w:p>
          <w:p w:rsidR="00000000" w:rsidRPr="00C064EA" w:rsidP="00C064EA">
            <w:pPr>
              <w:pStyle w:val="ListBullet"/>
            </w:pPr>
            <w:r w:rsidRPr="00C064EA">
              <w:t>laser transmitter/receiver</w:t>
            </w:r>
          </w:p>
          <w:p w:rsidR="00000000" w:rsidRPr="00C064EA" w:rsidP="00C064EA">
            <w:pPr>
              <w:pStyle w:val="ListBullet"/>
            </w:pPr>
            <w:r w:rsidRPr="00C064EA">
              <w:t>GPS receiver</w:t>
            </w:r>
          </w:p>
          <w:p w:rsidR="00000000" w:rsidRPr="00C064EA" w:rsidP="00C064EA">
            <w:pPr>
              <w:pStyle w:val="ListBullet"/>
            </w:pPr>
            <w:r w:rsidRPr="00C064EA">
              <w:t>satellite dish/aerial</w:t>
            </w:r>
          </w:p>
          <w:p w:rsidR="00000000" w:rsidRPr="00C064EA" w:rsidP="00C064EA">
            <w:pPr>
              <w:pStyle w:val="ListBullet"/>
            </w:pPr>
            <w:r w:rsidRPr="00C064EA">
              <w:t>displays, buzzers and signal lamps</w:t>
            </w:r>
          </w:p>
          <w:p w:rsidR="00000000" w:rsidRPr="00C064EA" w:rsidP="00C064EA">
            <w:pPr>
              <w:pStyle w:val="ListBullet"/>
            </w:pPr>
            <w:r w:rsidRPr="00C064EA">
              <w:t>operator switches and controls</w:t>
            </w:r>
          </w:p>
          <w:p w:rsidR="00000000" w:rsidRPr="00C064EA" w:rsidP="00C064EA">
            <w:pPr>
              <w:pStyle w:val="ListBullet"/>
            </w:pPr>
            <w:r w:rsidRPr="00C064EA">
              <w:t>antennae</w:t>
            </w:r>
          </w:p>
          <w:p w:rsidR="00000000" w:rsidRPr="00C064EA" w:rsidP="00C064EA">
            <w:pPr>
              <w:pStyle w:val="ListBullet"/>
            </w:pPr>
            <w:r w:rsidRPr="00C064EA">
              <w:t>fieldbus cables and connectors to other on-board systems and ECMs</w:t>
            </w:r>
          </w:p>
          <w:p w:rsidR="00000000" w:rsidRPr="00C064EA" w:rsidP="00C064EA">
            <w:pPr>
              <w:pStyle w:val="ListBullet"/>
            </w:pPr>
            <w:r w:rsidRPr="00C064EA">
              <w:t xml:space="preserve">sensors </w:t>
            </w:r>
          </w:p>
          <w:p w:rsidR="00000000" w:rsidRPr="00C064EA" w:rsidP="00C064EA">
            <w:pPr>
              <w:pStyle w:val="ListBullet"/>
            </w:pPr>
            <w:r w:rsidRPr="00C064EA">
              <w:t>rada</w:t>
            </w:r>
            <w:r w:rsidRPr="00C064EA">
              <w:t>r</w:t>
            </w:r>
          </w:p>
          <w:p w:rsidR="00000000" w:rsidRPr="00C064EA" w:rsidP="00C064EA">
            <w:pPr>
              <w:pStyle w:val="ListBullet"/>
            </w:pPr>
            <w:r w:rsidRPr="00C064EA">
              <w:t>cameras</w:t>
            </w:r>
          </w:p>
          <w:p w:rsidR="00000000" w:rsidRPr="00C064EA" w:rsidP="00C064EA">
            <w:pPr>
              <w:pStyle w:val="ListBullet"/>
            </w:pPr>
            <w:r w:rsidRPr="00C064EA">
              <w:t>service ports</w:t>
            </w:r>
          </w:p>
          <w:p w:rsidR="00000000" w:rsidRPr="00C064EA" w:rsidP="00C064EA">
            <w:pPr>
              <w:pStyle w:val="ListBullet"/>
            </w:pPr>
            <w:r w:rsidRPr="00C064EA">
              <w:t xml:space="preserve">power input </w:t>
            </w:r>
          </w:p>
          <w:p w:rsidR="00000000" w:rsidP="00C064EA">
            <w:pPr>
              <w:pStyle w:val="ListBullet"/>
              <w:rPr>
                <w:lang w:val="en-NZ"/>
              </w:rPr>
            </w:pPr>
            <w:r w:rsidRPr="00C064EA">
              <w:t>service ports to allow for laptops and other test instrumentation to be connected (e.g. USB, serial and connecting cables)</w:t>
            </w:r>
          </w:p>
        </w:tc>
      </w:tr>
      <w:tr w:rsidTr="00C064EA">
        <w:tblPrEx>
          <w:tblW w:w="0" w:type="auto"/>
          <w:tblLayout w:type="fixed"/>
          <w:tblCellMar>
            <w:left w:w="62" w:type="dxa"/>
            <w:right w:w="62" w:type="dxa"/>
          </w:tblCellMar>
          <w:tblLook w:val="0000"/>
        </w:tblPrEx>
        <w:trPr>
          <w:trHeight w:val="6850"/>
        </w:trPr>
        <w:tc>
          <w:tcPr>
            <w:tcW w:w="2641" w:type="dxa"/>
            <w:tcBorders>
              <w:top w:val="nil"/>
              <w:left w:val="nil"/>
              <w:bottom w:val="nil"/>
              <w:right w:val="nil"/>
            </w:tcBorders>
            <w:tcMar>
              <w:top w:w="0" w:type="dxa"/>
              <w:left w:w="62" w:type="dxa"/>
              <w:bottom w:w="0" w:type="dxa"/>
              <w:right w:w="62" w:type="dxa"/>
            </w:tcMar>
          </w:tcPr>
          <w:p w:rsidR="00000000" w:rsidP="00C064EA">
            <w:pPr>
              <w:pStyle w:val="BodyText"/>
              <w:rPr>
                <w:lang w:val="en-NZ"/>
              </w:rPr>
            </w:pPr>
            <w:r w:rsidRPr="00C064EA">
              <w:rPr>
                <w:rStyle w:val="SpecialBold"/>
              </w:rPr>
              <w:t>External communication systems can be relate</w:t>
            </w:r>
            <w:r w:rsidRPr="00C064EA">
              <w:rPr>
                <w:rStyle w:val="SpecialBold"/>
              </w:rPr>
              <w:t xml:space="preserve">d to single equipment system which include one (1) or more of the following: </w:t>
            </w:r>
          </w:p>
        </w:tc>
        <w:tc>
          <w:tcPr>
            <w:tcW w:w="6449" w:type="dxa"/>
            <w:tcBorders>
              <w:top w:val="nil"/>
              <w:left w:val="nil"/>
              <w:bottom w:val="nil"/>
              <w:right w:val="nil"/>
            </w:tcBorders>
            <w:tcMar>
              <w:top w:w="0" w:type="dxa"/>
              <w:left w:w="62" w:type="dxa"/>
              <w:bottom w:w="0" w:type="dxa"/>
              <w:right w:w="62" w:type="dxa"/>
            </w:tcMar>
          </w:tcPr>
          <w:p w:rsidR="00000000" w:rsidRPr="00C064EA" w:rsidP="00C064EA">
            <w:pPr>
              <w:pStyle w:val="ListBullet"/>
            </w:pPr>
            <w:r w:rsidRPr="00C064EA">
              <w:t>engine</w:t>
            </w:r>
          </w:p>
          <w:p w:rsidR="00000000" w:rsidRPr="00C064EA" w:rsidP="00C064EA">
            <w:pPr>
              <w:pStyle w:val="ListBullet"/>
            </w:pPr>
            <w:r w:rsidRPr="00C064EA">
              <w:t xml:space="preserve">tyres </w:t>
            </w:r>
          </w:p>
          <w:p w:rsidR="00000000" w:rsidRPr="00C064EA" w:rsidP="00C064EA">
            <w:pPr>
              <w:pStyle w:val="ListBullet"/>
            </w:pPr>
            <w:r w:rsidRPr="00C064EA">
              <w:t>load monitoring and reporting</w:t>
            </w:r>
          </w:p>
        </w:tc>
      </w:tr>
    </w:tbl>
    <w:p w:rsidR="00000000" w:rsidRPr="00C064EA" w:rsidP="00C064EA">
      <w:pPr>
        <w:pStyle w:val="BodyText"/>
      </w:pPr>
    </w:p>
    <w:p w:rsidR="00000000" w:rsidRPr="00C064EA" w:rsidP="00C064EA">
      <w:pPr>
        <w:pStyle w:val="AllowPageBreak"/>
      </w:pPr>
    </w:p>
    <w:p w:rsidR="00000000" w:rsidRPr="00C064EA" w:rsidP="00C064EA">
      <w:pPr>
        <w:pStyle w:val="Heading1"/>
      </w:pPr>
      <w:bookmarkStart w:id="8" w:name="O_960123"/>
      <w:bookmarkEnd w:id="8"/>
      <w:r w:rsidRPr="00C064EA">
        <w:t>Unit Mapping Information</w:t>
      </w:r>
    </w:p>
    <w:p w:rsidR="00000000" w:rsidRPr="00C064EA" w:rsidP="00142BA5">
      <w:pPr>
        <w:pStyle w:val="BodyText"/>
      </w:pPr>
      <w:r w:rsidRPr="00C064EA">
        <w:t>No equivalent unit.</w:t>
      </w:r>
    </w:p>
    <w:p w:rsidR="00000000" w:rsidRPr="00C064EA" w:rsidP="00C064EA">
      <w:pPr>
        <w:pStyle w:val="Heading1"/>
      </w:pPr>
      <w:bookmarkStart w:id="9" w:name="O_960116"/>
      <w:bookmarkEnd w:id="9"/>
      <w:r w:rsidRPr="00C064EA">
        <w:t>Links</w:t>
      </w:r>
    </w:p>
    <w:p w:rsidR="00000000" w:rsidRPr="00C064EA" w:rsidP="00142BA5">
      <w:pPr>
        <w:pStyle w:val="BodyText"/>
      </w:pPr>
      <w:r w:rsidRPr="00C064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C04FF">
        <w:rPr>
          <w:rStyle w:val="Hyperlink"/>
        </w:rPr>
        <w:t>https://vetnet.gov.au/Pages/TrainingDocs.aspx?q=b7050d37-5fd0-4740-8f7d-3b7a49c10bb2</w:t>
      </w:r>
      <w:r>
        <w:fldChar w:fldCharType="end"/>
      </w:r>
    </w:p>
    <w:p w:rsidR="00000000" w:rsidRPr="00C064EA" w:rsidP="00C064EA"/>
    <w:sectPr w:rsidSect="00C064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EA" w:rsidRPr="00142BA5" w:rsidP="00142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A5" w:rsidP="00C06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2BA5" w:rsidP="00C064E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2BA5" w:rsidP="00C06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64EA" w:rsidRPr="00142BA5" w:rsidP="00142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A5" w:rsidRPr="002D2AF8" w:rsidP="00C064EA">
    <w:pPr>
      <w:pStyle w:val="Header"/>
      <w:framePr w:wrap="around"/>
    </w:pPr>
    <w:r>
      <w:fldChar w:fldCharType="begin"/>
    </w:r>
    <w:r>
      <w:instrText xml:space="preserve"> TITLE   \* MERGEFORMAT </w:instrText>
    </w:r>
    <w:r>
      <w:fldChar w:fldCharType="separate"/>
    </w:r>
    <w:r>
      <w:t>MEM27018 Test, diagnose and rectify mobile and stationary plant external monitoring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42BA5" w:rsidP="00C06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A67E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0AAF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4EA"/>
    <w:pPr>
      <w:spacing w:before="360" w:after="60"/>
      <w:outlineLvl w:val="0"/>
    </w:pPr>
    <w:rPr>
      <w:sz w:val="32"/>
    </w:rPr>
  </w:style>
  <w:style w:type="paragraph" w:styleId="Heading2">
    <w:name w:val="heading 2"/>
    <w:basedOn w:val="HeadingBase"/>
    <w:next w:val="BodyText"/>
    <w:link w:val="Heading2Char"/>
    <w:qFormat/>
    <w:rsid w:val="00C064EA"/>
    <w:pPr>
      <w:keepLines/>
      <w:spacing w:before="240" w:after="120"/>
      <w:outlineLvl w:val="1"/>
    </w:pPr>
    <w:rPr>
      <w:sz w:val="28"/>
      <w:szCs w:val="40"/>
    </w:rPr>
  </w:style>
  <w:style w:type="paragraph" w:styleId="Heading3">
    <w:name w:val="heading 3"/>
    <w:basedOn w:val="HeadingBase"/>
    <w:next w:val="BodyText"/>
    <w:link w:val="Heading3Char"/>
    <w:qFormat/>
    <w:rsid w:val="00C064EA"/>
    <w:pPr>
      <w:spacing w:before="180" w:after="120"/>
      <w:outlineLvl w:val="2"/>
    </w:pPr>
    <w:rPr>
      <w:spacing w:val="-10"/>
      <w:kern w:val="32"/>
    </w:rPr>
  </w:style>
  <w:style w:type="paragraph" w:styleId="Heading4">
    <w:name w:val="heading 4"/>
    <w:basedOn w:val="HeadingBase"/>
    <w:next w:val="BodyText"/>
    <w:link w:val="Heading4Char"/>
    <w:qFormat/>
    <w:rsid w:val="00C064EA"/>
    <w:pPr>
      <w:spacing w:before="160" w:after="120"/>
      <w:outlineLvl w:val="3"/>
    </w:pPr>
    <w:rPr>
      <w:sz w:val="22"/>
    </w:rPr>
  </w:style>
  <w:style w:type="paragraph" w:styleId="Heading5">
    <w:name w:val="heading 5"/>
    <w:basedOn w:val="HeadingBase"/>
    <w:next w:val="Normal"/>
    <w:link w:val="Heading5Char"/>
    <w:qFormat/>
    <w:rsid w:val="00C064EA"/>
    <w:pPr>
      <w:spacing w:before="80"/>
      <w:outlineLvl w:val="4"/>
    </w:pPr>
    <w:rPr>
      <w:color w:val="918585"/>
      <w:sz w:val="20"/>
    </w:rPr>
  </w:style>
  <w:style w:type="paragraph" w:styleId="Heading6">
    <w:name w:val="heading 6"/>
    <w:basedOn w:val="HeadingBase"/>
    <w:next w:val="Normal"/>
    <w:link w:val="Heading6Char"/>
    <w:qFormat/>
    <w:rsid w:val="00C064EA"/>
    <w:pPr>
      <w:spacing w:before="60"/>
      <w:outlineLvl w:val="5"/>
    </w:pPr>
    <w:rPr>
      <w:color w:val="918585"/>
      <w:sz w:val="20"/>
    </w:rPr>
  </w:style>
  <w:style w:type="paragraph" w:styleId="Heading7">
    <w:name w:val="heading 7"/>
    <w:basedOn w:val="Normal"/>
    <w:next w:val="Normal"/>
    <w:link w:val="Heading7Char"/>
    <w:qFormat/>
    <w:rsid w:val="00C064EA"/>
    <w:pPr>
      <w:ind w:left="720"/>
      <w:outlineLvl w:val="6"/>
    </w:pPr>
    <w:rPr>
      <w:i/>
    </w:rPr>
  </w:style>
  <w:style w:type="paragraph" w:styleId="Heading8">
    <w:name w:val="heading 8"/>
    <w:basedOn w:val="Normal"/>
    <w:next w:val="Normal"/>
    <w:link w:val="Heading8Char"/>
    <w:qFormat/>
    <w:rsid w:val="00C064EA"/>
    <w:pPr>
      <w:ind w:left="720"/>
      <w:outlineLvl w:val="7"/>
    </w:pPr>
    <w:rPr>
      <w:i/>
    </w:rPr>
  </w:style>
  <w:style w:type="paragraph" w:styleId="Heading9">
    <w:name w:val="heading 9"/>
    <w:basedOn w:val="Normal"/>
    <w:next w:val="Normal"/>
    <w:link w:val="Heading9Char"/>
    <w:qFormat/>
    <w:rsid w:val="00C064EA"/>
    <w:pPr>
      <w:ind w:left="720"/>
      <w:outlineLvl w:val="8"/>
    </w:pPr>
    <w:rPr>
      <w:i/>
    </w:rPr>
  </w:style>
  <w:style w:type="character" w:default="1" w:styleId="DefaultParagraphFont">
    <w:name w:val="Default Paragraph Font"/>
    <w:uiPriority w:val="1"/>
    <w:unhideWhenUsed/>
    <w:rsid w:val="00C06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4EA"/>
  </w:style>
  <w:style w:type="character" w:customStyle="1" w:styleId="Heading1Char">
    <w:name w:val="Heading 1 Char"/>
    <w:basedOn w:val="DefaultParagraphFont"/>
    <w:link w:val="Heading1"/>
    <w:rsid w:val="00C064EA"/>
    <w:rPr>
      <w:rFonts w:ascii="Times New Roman" w:eastAsia="Times New Roman" w:hAnsi="Times New Roman" w:cs="Times New Roman"/>
      <w:b/>
      <w:sz w:val="32"/>
      <w:szCs w:val="20"/>
      <w:lang w:eastAsia="en-US"/>
    </w:rPr>
  </w:style>
  <w:style w:type="paragraph" w:styleId="BodyText">
    <w:name w:val="Body Text"/>
    <w:basedOn w:val="Normal"/>
    <w:link w:val="BodyTextChar"/>
    <w:rsid w:val="00C06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64EA"/>
    <w:rPr>
      <w:rFonts w:ascii="Times New Roman" w:eastAsia="Times New Roman" w:hAnsi="Times New Roman" w:cs="Times New Roman"/>
      <w:sz w:val="24"/>
      <w:lang w:eastAsia="en-US"/>
    </w:rPr>
  </w:style>
  <w:style w:type="paragraph" w:styleId="ListBullet">
    <w:name w:val="List Bullet"/>
    <w:basedOn w:val="List"/>
    <w:rsid w:val="00C064EA"/>
    <w:pPr>
      <w:numPr>
        <w:numId w:val="11"/>
      </w:numPr>
      <w:tabs>
        <w:tab w:val="clear" w:pos="340"/>
      </w:tabs>
      <w:spacing w:before="40" w:after="40"/>
    </w:pPr>
  </w:style>
  <w:style w:type="character" w:customStyle="1" w:styleId="SpecialBold">
    <w:name w:val="Special Bold"/>
    <w:basedOn w:val="DefaultParagraphFont"/>
    <w:rsid w:val="00C064EA"/>
    <w:rPr>
      <w:b/>
      <w:spacing w:val="0"/>
    </w:rPr>
  </w:style>
  <w:style w:type="paragraph" w:customStyle="1" w:styleId="SuperHeading">
    <w:name w:val="SuperHeading"/>
    <w:basedOn w:val="Normal"/>
    <w:rsid w:val="00C064EA"/>
    <w:pPr>
      <w:spacing w:before="240" w:after="120"/>
      <w:outlineLvl w:val="0"/>
    </w:pPr>
    <w:rPr>
      <w:rFonts w:ascii="Times New Roman" w:hAnsi="Times New Roman"/>
      <w:b/>
      <w:sz w:val="32"/>
    </w:rPr>
  </w:style>
  <w:style w:type="paragraph" w:customStyle="1" w:styleId="AllowPageBreak">
    <w:name w:val="AllowPageBreak"/>
    <w:rsid w:val="00C06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6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4EA"/>
    <w:rPr>
      <w:rFonts w:ascii="Courier New" w:eastAsia="Times New Roman" w:hAnsi="Courier New" w:cs="Times New Roman"/>
      <w:i/>
      <w:szCs w:val="20"/>
      <w:lang w:eastAsia="en-US"/>
    </w:rPr>
  </w:style>
  <w:style w:type="paragraph" w:customStyle="1" w:styleId="HeadingBase">
    <w:name w:val="Heading Base"/>
    <w:rsid w:val="00C06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4EA"/>
    <w:pPr>
      <w:tabs>
        <w:tab w:val="right" w:leader="dot" w:pos="9072"/>
      </w:tabs>
      <w:ind w:left="567"/>
    </w:pPr>
    <w:rPr>
      <w:szCs w:val="22"/>
    </w:rPr>
  </w:style>
  <w:style w:type="paragraph" w:customStyle="1" w:styleId="TOCBase">
    <w:name w:val="TOC Base"/>
    <w:rsid w:val="00C06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4EA"/>
    <w:pPr>
      <w:tabs>
        <w:tab w:val="right" w:leader="dot" w:pos="9072"/>
      </w:tabs>
      <w:spacing w:before="40" w:after="40"/>
      <w:ind w:left="284"/>
    </w:pPr>
    <w:rPr>
      <w:rFonts w:ascii="Times New Roman" w:hAnsi="Times New Roman"/>
    </w:rPr>
  </w:style>
  <w:style w:type="paragraph" w:styleId="TOC1">
    <w:name w:val="toc 1"/>
    <w:basedOn w:val="TOCBase"/>
    <w:next w:val="Normal"/>
    <w:rsid w:val="00C06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6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4EA"/>
    <w:rPr>
      <w:rFonts w:ascii="Times New Roman" w:eastAsia="Times New Roman" w:hAnsi="Times New Roman" w:cs="Times New Roman"/>
      <w:sz w:val="16"/>
      <w:lang w:eastAsia="en-US"/>
    </w:rPr>
  </w:style>
  <w:style w:type="paragraph" w:styleId="Title">
    <w:name w:val="Title"/>
    <w:basedOn w:val="HeadingBase"/>
    <w:link w:val="TitleChar"/>
    <w:qFormat/>
    <w:rsid w:val="00C064EA"/>
    <w:pPr>
      <w:spacing w:before="5040"/>
      <w:jc w:val="center"/>
    </w:pPr>
    <w:rPr>
      <w:sz w:val="48"/>
      <w:szCs w:val="72"/>
      <w:lang w:val="en-US"/>
    </w:rPr>
  </w:style>
  <w:style w:type="character" w:customStyle="1" w:styleId="TitleChar">
    <w:name w:val="Title Char"/>
    <w:basedOn w:val="DefaultParagraphFont"/>
    <w:link w:val="Title"/>
    <w:rsid w:val="00C06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4EA"/>
    <w:pPr>
      <w:tabs>
        <w:tab w:val="left" w:pos="3600"/>
        <w:tab w:val="left" w:pos="3958"/>
      </w:tabs>
    </w:pPr>
  </w:style>
  <w:style w:type="paragraph" w:styleId="List">
    <w:name w:val="List"/>
    <w:basedOn w:val="BodyText"/>
    <w:next w:val="BodyText"/>
    <w:rsid w:val="00C064EA"/>
    <w:pPr>
      <w:tabs>
        <w:tab w:val="left" w:pos="340"/>
      </w:tabs>
      <w:spacing w:before="60" w:after="60"/>
      <w:ind w:left="340" w:hanging="340"/>
    </w:pPr>
  </w:style>
  <w:style w:type="paragraph" w:customStyle="1" w:styleId="Note">
    <w:name w:val="Note"/>
    <w:basedOn w:val="BodyText"/>
    <w:rsid w:val="00C06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4EA"/>
    <w:pPr>
      <w:framePr w:wrap="auto" w:hAnchor="text" w:y="6049"/>
    </w:pPr>
    <w:rPr>
      <w:color w:val="000000"/>
      <w:sz w:val="40"/>
    </w:rPr>
  </w:style>
  <w:style w:type="paragraph" w:customStyle="1" w:styleId="TOCTitle">
    <w:name w:val="TOCTitle"/>
    <w:basedOn w:val="Heading1"/>
    <w:rsid w:val="00C064EA"/>
    <w:pPr>
      <w:spacing w:after="240"/>
      <w:jc w:val="center"/>
      <w:outlineLvl w:val="9"/>
    </w:pPr>
    <w:rPr>
      <w:caps/>
    </w:rPr>
  </w:style>
  <w:style w:type="paragraph" w:customStyle="1" w:styleId="Version">
    <w:name w:val="Version"/>
    <w:rsid w:val="00C06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64EA"/>
    <w:pPr>
      <w:numPr>
        <w:numId w:val="12"/>
      </w:numPr>
      <w:tabs>
        <w:tab w:val="clear" w:pos="680"/>
      </w:tabs>
    </w:pPr>
  </w:style>
  <w:style w:type="paragraph" w:styleId="Index1">
    <w:name w:val="index 1"/>
    <w:basedOn w:val="Normal"/>
    <w:next w:val="Normal"/>
    <w:semiHidden/>
    <w:rsid w:val="00C064EA"/>
    <w:pPr>
      <w:keepNext w:val="0"/>
      <w:tabs>
        <w:tab w:val="right" w:pos="4176"/>
      </w:tabs>
      <w:ind w:left="198" w:hanging="198"/>
    </w:pPr>
    <w:rPr>
      <w:rFonts w:ascii="Garamond" w:hAnsi="Garamond"/>
    </w:rPr>
  </w:style>
  <w:style w:type="paragraph" w:styleId="IndexHeading">
    <w:name w:val="index heading"/>
    <w:basedOn w:val="Normal"/>
    <w:next w:val="Index1"/>
    <w:semiHidden/>
    <w:rsid w:val="00C064EA"/>
    <w:pPr>
      <w:spacing w:before="120" w:after="120"/>
    </w:pPr>
    <w:rPr>
      <w:rFonts w:ascii="Arial" w:hAnsi="Arial"/>
      <w:b/>
      <w:color w:val="918585"/>
      <w:sz w:val="24"/>
    </w:rPr>
  </w:style>
  <w:style w:type="paragraph" w:styleId="Header">
    <w:name w:val="header"/>
    <w:basedOn w:val="Normal"/>
    <w:link w:val="HeaderChar"/>
    <w:rsid w:val="00C06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4EA"/>
    <w:rPr>
      <w:rFonts w:ascii="Times New Roman" w:eastAsia="Times New Roman" w:hAnsi="Times New Roman" w:cs="Times New Roman"/>
      <w:sz w:val="16"/>
      <w:szCs w:val="20"/>
      <w:lang w:val="en-GB" w:eastAsia="en-US"/>
    </w:rPr>
  </w:style>
  <w:style w:type="paragraph" w:customStyle="1" w:styleId="Chapter">
    <w:name w:val="Chapter"/>
    <w:basedOn w:val="Normal"/>
    <w:rsid w:val="00C064EA"/>
    <w:pPr>
      <w:spacing w:before="240"/>
    </w:pPr>
    <w:rPr>
      <w:rFonts w:ascii="Times New Roman" w:hAnsi="Times New Roman"/>
      <w:smallCaps/>
      <w:spacing w:val="80"/>
      <w:sz w:val="28"/>
    </w:rPr>
  </w:style>
  <w:style w:type="paragraph" w:customStyle="1" w:styleId="InChapter">
    <w:name w:val="InChapter"/>
    <w:basedOn w:val="Heading3"/>
    <w:rsid w:val="00C064EA"/>
    <w:pPr>
      <w:spacing w:after="240"/>
      <w:outlineLvl w:val="9"/>
    </w:pPr>
    <w:rPr>
      <w:noProof/>
    </w:rPr>
  </w:style>
  <w:style w:type="paragraph" w:styleId="Index2">
    <w:name w:val="index 2"/>
    <w:basedOn w:val="Normal"/>
    <w:next w:val="Normal"/>
    <w:semiHidden/>
    <w:rsid w:val="00C064EA"/>
    <w:pPr>
      <w:tabs>
        <w:tab w:val="right" w:pos="4176"/>
      </w:tabs>
      <w:ind w:left="568" w:hanging="284"/>
    </w:pPr>
    <w:rPr>
      <w:rFonts w:ascii="Garamond" w:hAnsi="Garamond"/>
    </w:rPr>
  </w:style>
  <w:style w:type="paragraph" w:customStyle="1" w:styleId="Byline">
    <w:name w:val="Byline"/>
    <w:rsid w:val="00C06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4EA"/>
    <w:pPr>
      <w:tabs>
        <w:tab w:val="clear" w:pos="3600"/>
        <w:tab w:val="clear" w:pos="3958"/>
      </w:tabs>
      <w:jc w:val="right"/>
    </w:pPr>
  </w:style>
  <w:style w:type="character" w:styleId="Emphasis">
    <w:name w:val="Emphasis"/>
    <w:basedOn w:val="DefaultParagraphFont"/>
    <w:qFormat/>
    <w:rsid w:val="00C064EA"/>
    <w:rPr>
      <w:i/>
    </w:rPr>
  </w:style>
  <w:style w:type="paragraph" w:styleId="Caption">
    <w:name w:val="caption"/>
    <w:basedOn w:val="BodyText"/>
    <w:next w:val="Normal"/>
    <w:qFormat/>
    <w:rsid w:val="00C064EA"/>
    <w:pPr>
      <w:framePr w:w="2268" w:hSpace="181" w:vSpace="181" w:wrap="around" w:vAnchor="text" w:hAnchor="page" w:x="1135" w:y="285" w:anchorLock="1"/>
    </w:pPr>
    <w:rPr>
      <w:i/>
    </w:rPr>
  </w:style>
  <w:style w:type="paragraph" w:customStyle="1" w:styleId="MiniTOCTitle">
    <w:name w:val="MiniTOCTitle"/>
    <w:basedOn w:val="Heading4"/>
    <w:rsid w:val="00C064EA"/>
    <w:pPr>
      <w:spacing w:before="240"/>
      <w:outlineLvl w:val="9"/>
    </w:pPr>
    <w:rPr>
      <w:noProof/>
      <w:sz w:val="24"/>
    </w:rPr>
  </w:style>
  <w:style w:type="paragraph" w:customStyle="1" w:styleId="MiniTOCItem">
    <w:name w:val="MiniTOCItem"/>
    <w:basedOn w:val="ListBullet"/>
    <w:rsid w:val="00C064EA"/>
    <w:pPr>
      <w:numPr>
        <w:numId w:val="0"/>
      </w:numPr>
      <w:tabs>
        <w:tab w:val="right" w:leader="dot" w:pos="6521"/>
      </w:tabs>
      <w:spacing w:before="0" w:after="0"/>
    </w:pPr>
  </w:style>
  <w:style w:type="paragraph" w:customStyle="1" w:styleId="TOFTitle">
    <w:name w:val="TOFTitle"/>
    <w:basedOn w:val="TOCTitle"/>
    <w:rsid w:val="00C064EA"/>
  </w:style>
  <w:style w:type="paragraph" w:styleId="TableofFigures">
    <w:name w:val="table of figures"/>
    <w:basedOn w:val="Normal"/>
    <w:next w:val="Normal"/>
    <w:semiHidden/>
    <w:rsid w:val="00C064EA"/>
    <w:pPr>
      <w:tabs>
        <w:tab w:val="right" w:leader="dot" w:pos="9072"/>
      </w:tabs>
      <w:ind w:left="970" w:hanging="403"/>
    </w:pPr>
    <w:rPr>
      <w:rFonts w:ascii="Times New Roman" w:hAnsi="Times New Roman"/>
      <w:b/>
    </w:rPr>
  </w:style>
  <w:style w:type="paragraph" w:styleId="ListNumber">
    <w:name w:val="List Number"/>
    <w:basedOn w:val="List"/>
    <w:rsid w:val="00C064EA"/>
    <w:pPr>
      <w:numPr>
        <w:numId w:val="14"/>
      </w:numPr>
      <w:tabs>
        <w:tab w:val="clear" w:pos="340"/>
      </w:tabs>
    </w:pPr>
  </w:style>
  <w:style w:type="character" w:customStyle="1" w:styleId="WingdingSymbols">
    <w:name w:val="Wingding Symbols"/>
    <w:rsid w:val="00C064EA"/>
    <w:rPr>
      <w:rFonts w:ascii="Wingdings" w:hAnsi="Wingdings"/>
    </w:rPr>
  </w:style>
  <w:style w:type="paragraph" w:customStyle="1" w:styleId="TableHeading">
    <w:name w:val="Table Heading"/>
    <w:basedOn w:val="HeadingBase"/>
    <w:rsid w:val="00C064EA"/>
    <w:pPr>
      <w:keepLines/>
      <w:pBdr>
        <w:bottom w:val="single" w:sz="6" w:space="1" w:color="918585"/>
      </w:pBdr>
      <w:spacing w:before="240"/>
    </w:pPr>
  </w:style>
  <w:style w:type="character" w:customStyle="1" w:styleId="HotSpot">
    <w:name w:val="HotSpot"/>
    <w:rsid w:val="00C064EA"/>
    <w:rPr>
      <w:color w:val="0033CC"/>
      <w:u w:val="none"/>
    </w:rPr>
  </w:style>
  <w:style w:type="paragraph" w:customStyle="1" w:styleId="BodyTextRight">
    <w:name w:val="Body Text Right"/>
    <w:basedOn w:val="BodyText"/>
    <w:rsid w:val="00C064EA"/>
    <w:pPr>
      <w:spacing w:before="0" w:after="0"/>
      <w:jc w:val="right"/>
    </w:pPr>
  </w:style>
  <w:style w:type="paragraph" w:styleId="Index3">
    <w:name w:val="index 3"/>
    <w:basedOn w:val="ListNumber2"/>
    <w:next w:val="Normal"/>
    <w:semiHidden/>
    <w:rsid w:val="00C064EA"/>
    <w:pPr>
      <w:numPr>
        <w:numId w:val="0"/>
      </w:numPr>
      <w:tabs>
        <w:tab w:val="right" w:leader="dot" w:pos="4176"/>
      </w:tabs>
    </w:pPr>
  </w:style>
  <w:style w:type="paragraph" w:styleId="ListNumber2">
    <w:name w:val="List Number 2"/>
    <w:basedOn w:val="List2"/>
    <w:rsid w:val="00C064EA"/>
    <w:pPr>
      <w:numPr>
        <w:numId w:val="9"/>
      </w:numPr>
      <w:tabs>
        <w:tab w:val="clear" w:pos="1060"/>
      </w:tabs>
    </w:pPr>
  </w:style>
  <w:style w:type="paragraph" w:customStyle="1" w:styleId="MarginNote">
    <w:name w:val="Margin Note"/>
    <w:basedOn w:val="BodyText"/>
    <w:rsid w:val="00C06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4EA"/>
    <w:rPr>
      <w:sz w:val="32"/>
    </w:rPr>
  </w:style>
  <w:style w:type="paragraph" w:customStyle="1" w:styleId="HeadingProcedure">
    <w:name w:val="Heading Procedure"/>
    <w:basedOn w:val="HeadingBase"/>
    <w:next w:val="Normal"/>
    <w:rsid w:val="00C064EA"/>
    <w:pPr>
      <w:tabs>
        <w:tab w:val="left" w:pos="0"/>
      </w:tabs>
      <w:spacing w:before="120" w:after="60"/>
    </w:pPr>
    <w:rPr>
      <w:i/>
      <w:color w:val="918585"/>
      <w:sz w:val="22"/>
    </w:rPr>
  </w:style>
  <w:style w:type="paragraph" w:customStyle="1" w:styleId="TableBodyText">
    <w:name w:val="Table Body Text"/>
    <w:basedOn w:val="BodyText"/>
    <w:rsid w:val="00C064EA"/>
    <w:pPr>
      <w:spacing w:before="60" w:after="60"/>
    </w:pPr>
  </w:style>
  <w:style w:type="paragraph" w:styleId="ListContinue">
    <w:name w:val="List Continue"/>
    <w:basedOn w:val="List"/>
    <w:rsid w:val="00C064EA"/>
    <w:pPr>
      <w:ind w:firstLine="0"/>
    </w:pPr>
  </w:style>
  <w:style w:type="paragraph" w:customStyle="1" w:styleId="ListNote">
    <w:name w:val="List Note"/>
    <w:basedOn w:val="List"/>
    <w:rsid w:val="00C064EA"/>
    <w:pPr>
      <w:pBdr>
        <w:top w:val="single" w:sz="6" w:space="2" w:color="918585"/>
        <w:bottom w:val="single" w:sz="6" w:space="2" w:color="918585"/>
      </w:pBdr>
      <w:tabs>
        <w:tab w:val="left" w:pos="1021"/>
      </w:tabs>
      <w:ind w:firstLine="0"/>
    </w:pPr>
  </w:style>
  <w:style w:type="paragraph" w:customStyle="1" w:styleId="Warning">
    <w:name w:val="Warning"/>
    <w:basedOn w:val="BodyText"/>
    <w:rsid w:val="00C064EA"/>
    <w:pPr>
      <w:shd w:val="clear" w:color="auto" w:fill="D9D9D9"/>
      <w:tabs>
        <w:tab w:val="left" w:pos="992"/>
      </w:tabs>
      <w:ind w:left="119" w:right="119"/>
    </w:pPr>
    <w:rPr>
      <w:sz w:val="20"/>
    </w:rPr>
  </w:style>
  <w:style w:type="paragraph" w:customStyle="1" w:styleId="MarginIcons">
    <w:name w:val="Margin Icons"/>
    <w:basedOn w:val="BodyText"/>
    <w:rsid w:val="00C06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4EA"/>
    <w:rPr>
      <w:rFonts w:ascii="Courier New" w:hAnsi="Courier New"/>
    </w:rPr>
  </w:style>
  <w:style w:type="paragraph" w:customStyle="1" w:styleId="NoteBullet">
    <w:name w:val="Note Bullet"/>
    <w:basedOn w:val="Note"/>
    <w:rsid w:val="00C064EA"/>
    <w:pPr>
      <w:tabs>
        <w:tab w:val="clear" w:pos="680"/>
      </w:tabs>
      <w:spacing w:before="60" w:after="60"/>
    </w:pPr>
  </w:style>
  <w:style w:type="paragraph" w:customStyle="1" w:styleId="SubHeading2">
    <w:name w:val="SubHeading2"/>
    <w:basedOn w:val="HeadingBase"/>
    <w:rsid w:val="00C064EA"/>
    <w:pPr>
      <w:spacing w:before="240" w:after="60"/>
    </w:pPr>
    <w:rPr>
      <w:sz w:val="20"/>
    </w:rPr>
  </w:style>
  <w:style w:type="paragraph" w:customStyle="1" w:styleId="SubHeading1">
    <w:name w:val="SubHeading1"/>
    <w:basedOn w:val="HeadingBase"/>
    <w:rsid w:val="00C064EA"/>
    <w:pPr>
      <w:spacing w:before="240" w:after="60"/>
    </w:pPr>
    <w:rPr>
      <w:color w:val="918585"/>
      <w:sz w:val="22"/>
    </w:rPr>
  </w:style>
  <w:style w:type="paragraph" w:customStyle="1" w:styleId="SideHeading">
    <w:name w:val="Side Heading"/>
    <w:basedOn w:val="HeadingBase"/>
    <w:rsid w:val="00C06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4EA"/>
    <w:pPr>
      <w:numPr>
        <w:numId w:val="10"/>
      </w:numPr>
    </w:pPr>
  </w:style>
  <w:style w:type="paragraph" w:styleId="PlainText">
    <w:name w:val="Plain Text"/>
    <w:basedOn w:val="Normal"/>
    <w:link w:val="PlainTextChar"/>
    <w:rsid w:val="00C064EA"/>
    <w:rPr>
      <w:sz w:val="20"/>
    </w:rPr>
  </w:style>
  <w:style w:type="character" w:customStyle="1" w:styleId="PlainTextChar">
    <w:name w:val="Plain Text Char"/>
    <w:basedOn w:val="DefaultParagraphFont"/>
    <w:link w:val="PlainText"/>
    <w:rsid w:val="00C064EA"/>
    <w:rPr>
      <w:rFonts w:ascii="Courier New" w:eastAsia="Times New Roman" w:hAnsi="Courier New" w:cs="Times New Roman"/>
      <w:sz w:val="20"/>
      <w:szCs w:val="20"/>
      <w:lang w:eastAsia="en-US"/>
    </w:rPr>
  </w:style>
  <w:style w:type="character" w:customStyle="1" w:styleId="MenuOption">
    <w:name w:val="Menu Option"/>
    <w:basedOn w:val="DefaultParagraphFont"/>
    <w:rsid w:val="00C064EA"/>
    <w:rPr>
      <w:b/>
      <w:smallCaps/>
    </w:rPr>
  </w:style>
  <w:style w:type="paragraph" w:customStyle="1" w:styleId="TableListNumber">
    <w:name w:val="Table List Number"/>
    <w:basedOn w:val="ListNumber"/>
    <w:rsid w:val="00C064EA"/>
    <w:pPr>
      <w:numPr>
        <w:numId w:val="0"/>
      </w:numPr>
    </w:pPr>
  </w:style>
  <w:style w:type="paragraph" w:styleId="TOC4">
    <w:name w:val="toc 4"/>
    <w:basedOn w:val="TOCBase"/>
    <w:next w:val="Normal"/>
    <w:semiHidden/>
    <w:rsid w:val="00C064EA"/>
    <w:pPr>
      <w:tabs>
        <w:tab w:val="right" w:leader="dot" w:pos="9071"/>
      </w:tabs>
      <w:ind w:left="1701"/>
    </w:pPr>
  </w:style>
  <w:style w:type="paragraph" w:customStyle="1" w:styleId="ListAlpha">
    <w:name w:val="List Alpha"/>
    <w:basedOn w:val="List"/>
    <w:rsid w:val="00C064EA"/>
    <w:pPr>
      <w:numPr>
        <w:numId w:val="8"/>
      </w:numPr>
    </w:pPr>
  </w:style>
  <w:style w:type="paragraph" w:customStyle="1" w:styleId="ListAlpha2">
    <w:name w:val="List Alpha 2"/>
    <w:basedOn w:val="List2"/>
    <w:rsid w:val="00C064EA"/>
    <w:pPr>
      <w:numPr>
        <w:numId w:val="7"/>
      </w:numPr>
    </w:pPr>
  </w:style>
  <w:style w:type="paragraph" w:styleId="List2">
    <w:name w:val="List 2"/>
    <w:basedOn w:val="BodyText"/>
    <w:rsid w:val="00C064EA"/>
    <w:pPr>
      <w:tabs>
        <w:tab w:val="left" w:pos="680"/>
      </w:tabs>
      <w:spacing w:before="60" w:after="60"/>
      <w:ind w:left="680" w:hanging="340"/>
    </w:pPr>
  </w:style>
  <w:style w:type="paragraph" w:styleId="List3">
    <w:name w:val="List 3"/>
    <w:basedOn w:val="BodyText"/>
    <w:rsid w:val="00C064EA"/>
    <w:pPr>
      <w:tabs>
        <w:tab w:val="left" w:pos="1021"/>
      </w:tabs>
      <w:spacing w:before="60" w:after="60"/>
      <w:ind w:left="1020" w:hanging="340"/>
    </w:pPr>
  </w:style>
  <w:style w:type="paragraph" w:styleId="List4">
    <w:name w:val="List 4"/>
    <w:basedOn w:val="BodyText"/>
    <w:rsid w:val="00C064EA"/>
    <w:pPr>
      <w:tabs>
        <w:tab w:val="left" w:pos="1361"/>
      </w:tabs>
      <w:spacing w:before="60" w:after="60"/>
      <w:ind w:left="1361" w:hanging="340"/>
    </w:pPr>
  </w:style>
  <w:style w:type="paragraph" w:styleId="List5">
    <w:name w:val="List 5"/>
    <w:basedOn w:val="BodyText"/>
    <w:rsid w:val="00C064EA"/>
    <w:pPr>
      <w:tabs>
        <w:tab w:val="left" w:pos="1701"/>
      </w:tabs>
      <w:spacing w:before="60" w:after="60"/>
      <w:ind w:left="1701" w:hanging="340"/>
    </w:pPr>
  </w:style>
  <w:style w:type="paragraph" w:styleId="ListBullet3">
    <w:name w:val="List Bullet 3"/>
    <w:basedOn w:val="List3"/>
    <w:rsid w:val="00C064EA"/>
    <w:pPr>
      <w:numPr>
        <w:numId w:val="13"/>
      </w:numPr>
      <w:tabs>
        <w:tab w:val="clear" w:pos="1021"/>
      </w:tabs>
      <w:ind w:left="1037" w:hanging="357"/>
    </w:pPr>
  </w:style>
  <w:style w:type="paragraph" w:styleId="ListBullet4">
    <w:name w:val="List Bullet 4"/>
    <w:basedOn w:val="List4"/>
    <w:rsid w:val="00C064EA"/>
    <w:pPr>
      <w:numPr>
        <w:numId w:val="2"/>
      </w:numPr>
      <w:tabs>
        <w:tab w:val="clear" w:pos="1361"/>
      </w:tabs>
    </w:pPr>
  </w:style>
  <w:style w:type="paragraph" w:styleId="ListBullet5">
    <w:name w:val="List Bullet 5"/>
    <w:basedOn w:val="List5"/>
    <w:rsid w:val="00C064EA"/>
    <w:pPr>
      <w:numPr>
        <w:numId w:val="3"/>
      </w:numPr>
    </w:pPr>
  </w:style>
  <w:style w:type="paragraph" w:styleId="ListContinue2">
    <w:name w:val="List Continue 2"/>
    <w:basedOn w:val="List2"/>
    <w:rsid w:val="00C064EA"/>
    <w:pPr>
      <w:ind w:firstLine="0"/>
    </w:pPr>
  </w:style>
  <w:style w:type="paragraph" w:styleId="ListContinue3">
    <w:name w:val="List Continue 3"/>
    <w:basedOn w:val="List3"/>
    <w:rsid w:val="00C064EA"/>
    <w:pPr>
      <w:ind w:left="1021" w:firstLine="0"/>
    </w:pPr>
  </w:style>
  <w:style w:type="paragraph" w:styleId="ListContinue4">
    <w:name w:val="List Continue 4"/>
    <w:basedOn w:val="List4"/>
    <w:rsid w:val="00C064EA"/>
    <w:pPr>
      <w:ind w:firstLine="0"/>
    </w:pPr>
  </w:style>
  <w:style w:type="paragraph" w:styleId="ListContinue5">
    <w:name w:val="List Continue 5"/>
    <w:basedOn w:val="List5"/>
    <w:rsid w:val="00C064EA"/>
    <w:pPr>
      <w:ind w:firstLine="0"/>
    </w:pPr>
  </w:style>
  <w:style w:type="paragraph" w:styleId="ListNumber3">
    <w:name w:val="List Number 3"/>
    <w:basedOn w:val="List3"/>
    <w:rsid w:val="00C064EA"/>
    <w:pPr>
      <w:numPr>
        <w:numId w:val="4"/>
      </w:numPr>
    </w:pPr>
  </w:style>
  <w:style w:type="paragraph" w:styleId="ListNumber4">
    <w:name w:val="List Number 4"/>
    <w:basedOn w:val="List4"/>
    <w:rsid w:val="00C064EA"/>
    <w:pPr>
      <w:numPr>
        <w:numId w:val="5"/>
      </w:numPr>
    </w:pPr>
  </w:style>
  <w:style w:type="paragraph" w:styleId="ListNumber5">
    <w:name w:val="List Number 5"/>
    <w:basedOn w:val="List5"/>
    <w:rsid w:val="00C064EA"/>
    <w:pPr>
      <w:numPr>
        <w:numId w:val="6"/>
      </w:numPr>
    </w:pPr>
  </w:style>
  <w:style w:type="paragraph" w:styleId="BlockText">
    <w:name w:val="Block Text"/>
    <w:basedOn w:val="Normal"/>
    <w:rsid w:val="00C064EA"/>
    <w:pPr>
      <w:spacing w:after="120"/>
      <w:ind w:left="1440" w:right="1440"/>
    </w:pPr>
  </w:style>
  <w:style w:type="character" w:customStyle="1" w:styleId="Subscript">
    <w:name w:val="Subscript"/>
    <w:basedOn w:val="DefaultParagraphFont"/>
    <w:rsid w:val="00C064EA"/>
    <w:rPr>
      <w:sz w:val="16"/>
      <w:vertAlign w:val="subscript"/>
    </w:rPr>
  </w:style>
  <w:style w:type="character" w:customStyle="1" w:styleId="Superscript">
    <w:name w:val="Superscript"/>
    <w:basedOn w:val="DefaultParagraphFont"/>
    <w:rsid w:val="00C064EA"/>
    <w:rPr>
      <w:sz w:val="16"/>
      <w:vertAlign w:val="superscript"/>
    </w:rPr>
  </w:style>
  <w:style w:type="character" w:customStyle="1" w:styleId="Symbols">
    <w:name w:val="Symbols"/>
    <w:basedOn w:val="DefaultParagraphFont"/>
    <w:rsid w:val="00C064EA"/>
    <w:rPr>
      <w:rFonts w:ascii="Symbol" w:hAnsi="Symbol"/>
    </w:rPr>
  </w:style>
  <w:style w:type="character" w:customStyle="1" w:styleId="MenuOptions">
    <w:name w:val="Menu Options"/>
    <w:basedOn w:val="DefaultParagraphFont"/>
    <w:rsid w:val="00C064EA"/>
    <w:rPr>
      <w:rFonts w:ascii="Arial Narrow" w:hAnsi="Arial Narrow"/>
      <w:smallCaps/>
    </w:rPr>
  </w:style>
  <w:style w:type="character" w:customStyle="1" w:styleId="Buttons">
    <w:name w:val="Buttons"/>
    <w:basedOn w:val="DefaultParagraphFont"/>
    <w:rsid w:val="00C064EA"/>
    <w:rPr>
      <w:b/>
    </w:rPr>
  </w:style>
  <w:style w:type="character" w:customStyle="1" w:styleId="Underlined">
    <w:name w:val="Underlined"/>
    <w:basedOn w:val="DefaultParagraphFont"/>
    <w:rsid w:val="00C064EA"/>
    <w:rPr>
      <w:u w:val="single"/>
    </w:rPr>
  </w:style>
  <w:style w:type="paragraph" w:customStyle="1" w:styleId="TableBodyTextRight">
    <w:name w:val="Table Body Text Right"/>
    <w:basedOn w:val="TableBodyText"/>
    <w:rsid w:val="00C064EA"/>
    <w:pPr>
      <w:widowControl w:val="0"/>
      <w:autoSpaceDE w:val="0"/>
      <w:autoSpaceDN w:val="0"/>
      <w:adjustRightInd w:val="0"/>
      <w:jc w:val="right"/>
    </w:pPr>
    <w:rPr>
      <w:rFonts w:cs="Arial"/>
      <w:szCs w:val="18"/>
    </w:rPr>
  </w:style>
  <w:style w:type="paragraph" w:customStyle="1" w:styleId="CopyrightText">
    <w:name w:val="Copyright Text"/>
    <w:basedOn w:val="BodyText"/>
    <w:rsid w:val="00C064EA"/>
    <w:rPr>
      <w:sz w:val="18"/>
    </w:rPr>
  </w:style>
  <w:style w:type="paragraph" w:customStyle="1" w:styleId="BodySmallRight">
    <w:name w:val="Body Small Right"/>
    <w:basedOn w:val="BodyTextRight"/>
    <w:rsid w:val="00C064EA"/>
    <w:rPr>
      <w:sz w:val="18"/>
      <w:szCs w:val="18"/>
    </w:rPr>
  </w:style>
  <w:style w:type="paragraph" w:customStyle="1" w:styleId="MarginEdition">
    <w:name w:val="Margin Edition"/>
    <w:basedOn w:val="MarginNote"/>
    <w:rsid w:val="00C064EA"/>
    <w:pPr>
      <w:spacing w:before="0" w:after="0"/>
    </w:pPr>
    <w:rPr>
      <w:rFonts w:ascii="Times New Roman" w:hAnsi="Times New Roman"/>
      <w:color w:val="999999"/>
    </w:rPr>
  </w:style>
  <w:style w:type="paragraph" w:customStyle="1" w:styleId="Spacer">
    <w:name w:val="Spacer"/>
    <w:basedOn w:val="Normal"/>
    <w:rsid w:val="00C064EA"/>
    <w:rPr>
      <w:sz w:val="2"/>
      <w:szCs w:val="2"/>
    </w:rPr>
  </w:style>
  <w:style w:type="character" w:customStyle="1" w:styleId="Small">
    <w:name w:val="Small"/>
    <w:basedOn w:val="DefaultParagraphFont"/>
    <w:rsid w:val="00C064EA"/>
    <w:rPr>
      <w:sz w:val="16"/>
    </w:rPr>
  </w:style>
  <w:style w:type="paragraph" w:customStyle="1" w:styleId="WideTable">
    <w:name w:val="Wide Table"/>
    <w:basedOn w:val="Normal"/>
    <w:rsid w:val="00C064EA"/>
    <w:pPr>
      <w:ind w:left="-1418"/>
    </w:pPr>
    <w:rPr>
      <w:sz w:val="2"/>
      <w:szCs w:val="2"/>
    </w:rPr>
  </w:style>
  <w:style w:type="character" w:styleId="PageNumber">
    <w:name w:val="page number"/>
    <w:basedOn w:val="DefaultParagraphFont"/>
    <w:rsid w:val="00C064EA"/>
  </w:style>
  <w:style w:type="paragraph" w:styleId="Quote">
    <w:name w:val="Quote"/>
    <w:basedOn w:val="Heading1"/>
    <w:link w:val="QuoteChar"/>
    <w:qFormat/>
    <w:rsid w:val="00C064EA"/>
    <w:rPr>
      <w:b w:val="0"/>
      <w:sz w:val="72"/>
      <w:szCs w:val="72"/>
      <w:lang w:val="en-NZ"/>
    </w:rPr>
  </w:style>
  <w:style w:type="character" w:customStyle="1" w:styleId="QuoteChar">
    <w:name w:val="Quote Char"/>
    <w:basedOn w:val="DefaultParagraphFont"/>
    <w:link w:val="Quote"/>
    <w:rsid w:val="00C06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4EA"/>
    <w:pPr>
      <w:pageBreakBefore/>
    </w:pPr>
  </w:style>
  <w:style w:type="paragraph" w:customStyle="1" w:styleId="Border">
    <w:name w:val="Border"/>
    <w:basedOn w:val="Normal"/>
    <w:qFormat/>
    <w:rsid w:val="00C06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4EA"/>
    <w:rPr>
      <w:b/>
      <w:bCs/>
      <w:i/>
      <w:iCs/>
      <w:color w:val="auto"/>
    </w:rPr>
  </w:style>
  <w:style w:type="paragraph" w:styleId="IntenseQuote">
    <w:name w:val="Intense Quote"/>
    <w:basedOn w:val="Normal"/>
    <w:next w:val="Normal"/>
    <w:link w:val="IntenseQuoteChar"/>
    <w:uiPriority w:val="30"/>
    <w:qFormat/>
    <w:rsid w:val="00C06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4EA"/>
    <w:rPr>
      <w:smallCaps/>
      <w:color w:val="auto"/>
      <w:u w:val="single"/>
    </w:rPr>
  </w:style>
  <w:style w:type="character" w:styleId="IntenseReference">
    <w:name w:val="Intense Reference"/>
    <w:basedOn w:val="DefaultParagraphFont"/>
    <w:uiPriority w:val="32"/>
    <w:qFormat/>
    <w:rsid w:val="00C064EA"/>
    <w:rPr>
      <w:b/>
      <w:bCs/>
      <w:smallCaps/>
      <w:color w:val="auto"/>
      <w:spacing w:val="5"/>
      <w:u w:val="single"/>
    </w:rPr>
  </w:style>
  <w:style w:type="paragraph" w:customStyle="1" w:styleId="2ColumnHeading">
    <w:name w:val="2Column Heading"/>
    <w:basedOn w:val="BodyText"/>
    <w:qFormat/>
    <w:rsid w:val="00C064EA"/>
    <w:pPr>
      <w:spacing w:after="60"/>
      <w:ind w:left="-2268"/>
    </w:pPr>
    <w:rPr>
      <w:b/>
    </w:rPr>
  </w:style>
  <w:style w:type="paragraph" w:customStyle="1" w:styleId="Heading1TOC">
    <w:name w:val="Heading1 TOC"/>
    <w:basedOn w:val="Normal"/>
    <w:qFormat/>
    <w:rsid w:val="00C064EA"/>
    <w:pPr>
      <w:spacing w:before="240" w:after="120"/>
    </w:pPr>
    <w:rPr>
      <w:rFonts w:ascii="Times New Roman" w:hAnsi="Times New Roman"/>
      <w:b/>
      <w:sz w:val="32"/>
    </w:rPr>
  </w:style>
  <w:style w:type="paragraph" w:customStyle="1" w:styleId="Heading2TOC">
    <w:name w:val="Heading2 TOC"/>
    <w:basedOn w:val="Normal"/>
    <w:qFormat/>
    <w:rsid w:val="00C064EA"/>
    <w:pPr>
      <w:spacing w:before="240" w:after="60"/>
    </w:pPr>
    <w:rPr>
      <w:rFonts w:ascii="Times New Roman" w:hAnsi="Times New Roman"/>
      <w:b/>
      <w:sz w:val="28"/>
    </w:rPr>
  </w:style>
  <w:style w:type="character" w:customStyle="1" w:styleId="Underline">
    <w:name w:val="Underline"/>
    <w:basedOn w:val="DefaultParagraphFont"/>
    <w:qFormat/>
    <w:rsid w:val="00C064EA"/>
    <w:rPr>
      <w:u w:val="single"/>
    </w:rPr>
  </w:style>
  <w:style w:type="character" w:customStyle="1" w:styleId="BoldandItalics">
    <w:name w:val="Bold and Italics"/>
    <w:qFormat/>
    <w:rsid w:val="00C064EA"/>
    <w:rPr>
      <w:b/>
      <w:i/>
      <w:u w:val="none"/>
    </w:rPr>
  </w:style>
  <w:style w:type="paragraph" w:styleId="BalloonText">
    <w:name w:val="Balloon Text"/>
    <w:basedOn w:val="Normal"/>
    <w:link w:val="BalloonTextChar"/>
    <w:rsid w:val="00C064EA"/>
    <w:rPr>
      <w:rFonts w:ascii="Tahoma" w:hAnsi="Tahoma" w:cs="Tahoma"/>
      <w:sz w:val="16"/>
      <w:szCs w:val="16"/>
    </w:rPr>
  </w:style>
  <w:style w:type="character" w:customStyle="1" w:styleId="BalloonTextChar">
    <w:name w:val="Balloon Text Char"/>
    <w:basedOn w:val="DefaultParagraphFont"/>
    <w:link w:val="BalloonText"/>
    <w:rsid w:val="00C06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6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4EA"/>
    <w:rPr>
      <w:b/>
      <w:color w:val="660033"/>
      <w:spacing w:val="0"/>
    </w:rPr>
  </w:style>
  <w:style w:type="paragraph" w:customStyle="1" w:styleId="Nameditemlist">
    <w:name w:val="Named item list"/>
    <w:basedOn w:val="BodyText"/>
    <w:qFormat/>
    <w:rsid w:val="00C064EA"/>
    <w:pPr>
      <w:tabs>
        <w:tab w:val="left" w:pos="2835"/>
      </w:tabs>
      <w:ind w:left="2835" w:hanging="2835"/>
    </w:pPr>
  </w:style>
  <w:style w:type="paragraph" w:customStyle="1" w:styleId="BodyTextnopadding">
    <w:name w:val="Body Text no padding"/>
    <w:basedOn w:val="BodyText"/>
    <w:qFormat/>
    <w:rsid w:val="00C064EA"/>
    <w:pPr>
      <w:spacing w:before="0" w:after="0"/>
    </w:pPr>
  </w:style>
  <w:style w:type="paragraph" w:customStyle="1" w:styleId="BodyTextBold">
    <w:name w:val="Body Text Bold"/>
    <w:basedOn w:val="BodyText"/>
    <w:qFormat/>
    <w:rsid w:val="00C064EA"/>
    <w:rPr>
      <w:b/>
    </w:rPr>
  </w:style>
  <w:style w:type="character" w:styleId="Hyperlink">
    <w:name w:val="Hyperlink"/>
    <w:basedOn w:val="DefaultParagraphFont"/>
    <w:uiPriority w:val="99"/>
    <w:unhideWhenUsed/>
    <w:rsid w:val="00142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5606</Characters>
  <Application>Microsoft Office Word</Application>
  <DocSecurity>0</DocSecurity>
  <Lines>311</Lines>
  <Paragraphs>180</Paragraphs>
  <ScaleCrop>false</ScaleCrop>
  <Company>Author-it Software Corporation Ltd.</Company>
  <LinksUpToDate>false</LinksUpToDate>
  <CharactersWithSpaces>6312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MEM27018 Test, diagnose and rectify mobile and stationary plant external monitoring and control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2023-02-03T06:46:00Z</dcterms:created>
  <dcterms:modified xsi:type="dcterms:W3CDTF">2023-02-03T06:46:00Z</dcterms:modified>
</cp:coreProperties>
</file>