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8C9" w:rsidP="00A72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MEM27014 Diagnose and rectify automatic transmissions</w:t>
      </w:r>
      <w:r>
        <w:fldChar w:fldCharType="end"/>
      </w:r>
    </w:p>
    <w:p w:rsidR="00A728C9" w:rsidP="00A728C9">
      <w:pPr>
        <w:pStyle w:val="Version"/>
        <w:sectPr w:rsidSect="00EC7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28D" w:rsidP="00EC728D">
      <w:pPr>
        <w:pStyle w:val="SuperHeading"/>
      </w:pPr>
      <w:r w:rsidRPr="00EC728D">
        <w:t>MEM27014 Diagnose and rectify automatic transmissions</w:t>
      </w:r>
    </w:p>
    <w:p w:rsidR="00000000" w:rsidRPr="00EC728D" w:rsidP="00EC728D">
      <w:pPr>
        <w:pStyle w:val="Heading1"/>
      </w:pPr>
      <w:bookmarkStart w:id="1" w:name="O_951806"/>
      <w:bookmarkEnd w:id="1"/>
      <w:r w:rsidRPr="00EC728D">
        <w:t>Modification History</w:t>
      </w:r>
    </w:p>
    <w:p w:rsidR="00000000" w:rsidRPr="00EC728D" w:rsidP="00A728C9">
      <w:pPr>
        <w:pStyle w:val="BodyText"/>
      </w:pPr>
      <w:r w:rsidRPr="00EC728D">
        <w:t xml:space="preserve">Release 1. Supersedes and is equivalent to MEM18043C Diagnose and rectify automatic transmissions </w:t>
      </w:r>
    </w:p>
    <w:p w:rsidR="00000000" w:rsidRPr="00EC728D" w:rsidP="00EC728D">
      <w:pPr>
        <w:pStyle w:val="Heading1"/>
      </w:pPr>
      <w:bookmarkStart w:id="2" w:name="O_951814"/>
      <w:bookmarkEnd w:id="2"/>
      <w:r w:rsidRPr="00EC728D">
        <w:t>Application</w:t>
      </w:r>
    </w:p>
    <w:p w:rsidR="00000000" w:rsidRPr="00EC728D" w:rsidP="00A728C9">
      <w:pPr>
        <w:pStyle w:val="BodyText"/>
      </w:pPr>
      <w:r w:rsidRPr="00EC728D">
        <w:t>This unit of competency defines the skills and knowledge required to assess converter/trans</w:t>
      </w:r>
      <w:r w:rsidRPr="00EC728D">
        <w:t>mission operation, and repair or replace faulty components.</w:t>
      </w:r>
    </w:p>
    <w:p w:rsidR="00000000" w:rsidRPr="00EC728D" w:rsidP="00A728C9">
      <w:pPr>
        <w:pStyle w:val="BodyText"/>
      </w:pPr>
      <w:r w:rsidRPr="00EC728D">
        <w:t>Testing and assessment of performance would typically require operation of the plant or equipment. A licence may be required and users should check with the relevant authorities.</w:t>
      </w:r>
    </w:p>
    <w:p w:rsidR="00000000" w:rsidRPr="00EC728D" w:rsidP="00A728C9">
      <w:pPr>
        <w:pStyle w:val="BodyText"/>
      </w:pPr>
      <w:r w:rsidRPr="00EC728D">
        <w:t>No licensing, l</w:t>
      </w:r>
      <w:r w:rsidRPr="00EC728D">
        <w:t>egislative or certification requirements apply to this unit at the time of publication.</w:t>
      </w:r>
    </w:p>
    <w:p w:rsidR="00000000" w:rsidRPr="00EC728D" w:rsidP="00EC728D">
      <w:pPr>
        <w:pStyle w:val="BodyText"/>
      </w:pPr>
      <w:r w:rsidRPr="00EC728D">
        <w:rPr>
          <w:rStyle w:val="SpecialBold"/>
        </w:rPr>
        <w:t>Band</w:t>
      </w:r>
      <w:r w:rsidRPr="00EC728D">
        <w:t>:</w:t>
      </w:r>
      <w:r w:rsidRPr="00EC728D">
        <w:tab/>
      </w:r>
      <w:r w:rsidRPr="00EC728D">
        <w:rPr>
          <w:rStyle w:val="SpecialBold"/>
        </w:rPr>
        <w:t>A</w:t>
      </w:r>
    </w:p>
    <w:p w:rsidR="00000000" w:rsidRPr="00EC728D" w:rsidP="00EC728D">
      <w:pPr>
        <w:pStyle w:val="BodyText"/>
      </w:pPr>
      <w:r w:rsidRPr="00EC728D">
        <w:rPr>
          <w:rStyle w:val="SpecialBold"/>
        </w:rPr>
        <w:t>Unit Weight</w:t>
      </w:r>
      <w:r w:rsidRPr="00EC728D">
        <w:t>:</w:t>
      </w:r>
      <w:r w:rsidRPr="00EC728D">
        <w:tab/>
      </w:r>
      <w:r w:rsidRPr="00EC728D">
        <w:rPr>
          <w:rStyle w:val="SpecialBold"/>
        </w:rPr>
        <w:t>8</w:t>
      </w:r>
    </w:p>
    <w:p w:rsidR="00000000" w:rsidRPr="00EC728D" w:rsidP="00EC728D">
      <w:pPr>
        <w:pStyle w:val="AllowPageBreak"/>
      </w:pPr>
    </w:p>
    <w:p w:rsidR="00000000" w:rsidRPr="00EC728D" w:rsidP="00EC728D">
      <w:pPr>
        <w:pStyle w:val="Heading1"/>
      </w:pPr>
      <w:bookmarkStart w:id="3" w:name="O_951813"/>
      <w:bookmarkEnd w:id="3"/>
      <w:r w:rsidRPr="00EC728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Interpret technical drawing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Undertake manual handling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Perform engineering measurements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Work safely and effectively in manufacturing and engineering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Organise and communicate information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Use hand tools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Use power tools/hand held operations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BodyText"/>
            </w:pPr>
            <w:r w:rsidRPr="00EC728D">
              <w:t xml:space="preserve">Dismantle, replace and </w:t>
            </w:r>
            <w:r w:rsidRPr="00EC728D">
              <w:t>assemble engineering components</w:t>
            </w:r>
          </w:p>
        </w:tc>
      </w:tr>
    </w:tbl>
    <w:p w:rsidR="00000000" w:rsidRPr="00EC728D" w:rsidP="00EC728D">
      <w:pPr>
        <w:pStyle w:val="BodyText"/>
      </w:pPr>
    </w:p>
    <w:p w:rsidR="00000000" w:rsidRPr="00EC728D" w:rsidP="00EC728D">
      <w:pPr>
        <w:pStyle w:val="AllowPageBreak"/>
      </w:pPr>
    </w:p>
    <w:p w:rsidR="00000000" w:rsidRPr="00EC728D" w:rsidP="00EC728D">
      <w:pPr>
        <w:pStyle w:val="Heading1"/>
      </w:pPr>
      <w:bookmarkStart w:id="4" w:name="O_951812"/>
      <w:bookmarkEnd w:id="4"/>
      <w:r w:rsidRPr="00EC728D">
        <w:t>Competency Field</w:t>
      </w:r>
    </w:p>
    <w:p w:rsidR="00000000" w:rsidRPr="00EC728D" w:rsidP="00A728C9">
      <w:pPr>
        <w:pStyle w:val="BodyText"/>
      </w:pPr>
      <w:r w:rsidRPr="00EC728D">
        <w:t>Fixed and mobile plant</w:t>
      </w:r>
    </w:p>
    <w:p w:rsidR="00000000" w:rsidRPr="00EC728D" w:rsidP="00EC728D">
      <w:pPr>
        <w:pStyle w:val="Heading1"/>
      </w:pPr>
      <w:bookmarkStart w:id="5" w:name="O_951810"/>
      <w:bookmarkEnd w:id="5"/>
      <w:r w:rsidRPr="00EC72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Performance criteria describe the performance needed to demonstrate achievement of the element.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BodyText"/>
            </w:pPr>
            <w:r w:rsidRPr="00EC728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Follow standard operating procedures (SOPs)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Comply with work health and safety (WHS) requirements at all times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Use appropriate personal protective equipment (PPE) in accordance with SOPs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Identify job requirements from specifications, drawings, job sheets or work instructions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BodyText"/>
            </w:pPr>
            <w:r w:rsidRPr="00EC728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rPr>
                <w:rStyle w:val="SpecialBold"/>
              </w:rPr>
              <w:t>Assess converter/ transmission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Apply principles of torque converter, simple and compound planetary gearing, and hydraulic control operating principles to assess converter/transmission operation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Obtain and interpret relevant information prior to any testing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Undertake preliminary checks safely to prescribed procedures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 xml:space="preserve">Isolate faults to component level and determine appropriate corrective action 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Assess component parts and determine the need for repair or replacement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Use test equipment in a</w:t>
            </w:r>
            <w:r w:rsidRPr="00EC728D">
              <w:t>ccordance with SOPs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 xml:space="preserve">Assess component parts for reuse or replacement 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BodyText"/>
            </w:pPr>
            <w:r w:rsidRPr="00EC728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rPr>
                <w:rStyle w:val="SpecialBold"/>
              </w:rPr>
              <w:t>Repair/replace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Determine component wear and clearances using appropriate test equipment and manufacturer recommendations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Select replacement components using manufacturers</w:t>
            </w:r>
            <w:r>
              <w:t>’</w:t>
            </w:r>
            <w:r w:rsidRPr="00EC728D">
              <w:t xml:space="preserve"> data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Remove and refit components to converter/transmission assembly using appropriate tools, equipment and techniques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Make adjustments using appropriate tooling/equipment and manufacturers</w:t>
            </w:r>
            <w:r>
              <w:t>’</w:t>
            </w:r>
            <w:r w:rsidRPr="00EC728D">
              <w:t xml:space="preserve"> d</w:t>
            </w:r>
            <w:r w:rsidRPr="00EC728D">
              <w:t>ata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Verify converter/transmission assembly is free of excessive noise and operates to specification after repair work is carried out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BodyText"/>
            </w:pPr>
            <w:r w:rsidRPr="00EC728D">
              <w:t>Record all test and rectification activities</w:t>
            </w:r>
          </w:p>
        </w:tc>
      </w:tr>
    </w:tbl>
    <w:p w:rsidR="00000000" w:rsidRPr="00EC728D" w:rsidP="00EC728D">
      <w:pPr>
        <w:pStyle w:val="BodyText"/>
      </w:pPr>
    </w:p>
    <w:p w:rsidR="00000000" w:rsidRPr="00EC728D" w:rsidP="00EC728D">
      <w:pPr>
        <w:pStyle w:val="AllowPageBreak"/>
      </w:pPr>
    </w:p>
    <w:p w:rsidR="00000000" w:rsidRPr="00EC728D" w:rsidP="00EC728D">
      <w:pPr>
        <w:pStyle w:val="Heading1"/>
      </w:pPr>
      <w:bookmarkStart w:id="6" w:name="O_951809"/>
      <w:bookmarkEnd w:id="6"/>
      <w:r w:rsidRPr="00EC728D">
        <w:t>Foundation Skills</w:t>
      </w:r>
    </w:p>
    <w:p w:rsidR="00000000" w:rsidRPr="00EC728D" w:rsidP="00A728C9">
      <w:pPr>
        <w:pStyle w:val="BodyText"/>
      </w:pPr>
      <w:r w:rsidRPr="00EC728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C728D" w:rsidP="00A728C9">
      <w:pPr>
        <w:pStyle w:val="BodyText"/>
      </w:pPr>
      <w:r w:rsidRPr="00EC728D">
        <w:t xml:space="preserve">Foundation skills essential to performance are explicit in the performance criteria </w:t>
      </w:r>
      <w:r w:rsidRPr="00EC728D">
        <w:t>of this unit of competency.</w:t>
      </w:r>
    </w:p>
    <w:p w:rsidR="00000000" w:rsidRPr="00EC728D" w:rsidP="00EC728D">
      <w:pPr>
        <w:pStyle w:val="Heading1"/>
      </w:pPr>
      <w:bookmarkStart w:id="7" w:name="O_951808"/>
      <w:bookmarkEnd w:id="7"/>
      <w:r w:rsidRPr="00EC728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t>This field allows for different work environments and conditions that may affect performance. Essential operating conditions that may be present (depending on the work situation, needs of the</w:t>
            </w:r>
            <w:r w:rsidRPr="00EC728D">
              <w:t xml:space="preserve"> candidate, accessibility of the item, and local industry and regional contexts) are included.</w:t>
            </w: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rPr>
                <w:rStyle w:val="SpecialBold"/>
              </w:rPr>
              <w:t>Automatic transmissions and assemblies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ListBullet"/>
            </w:pPr>
            <w:r w:rsidRPr="00EC728D">
              <w:t>automatic</w:t>
            </w:r>
          </w:p>
          <w:p w:rsidR="00000000" w:rsidRPr="00EC728D" w:rsidP="00EC728D">
            <w:pPr>
              <w:pStyle w:val="ListBullet"/>
            </w:pPr>
            <w:r w:rsidRPr="00EC728D">
              <w:t xml:space="preserve">semi-automatic </w:t>
            </w:r>
          </w:p>
          <w:p w:rsidR="00000000" w:rsidRPr="00EC728D" w:rsidP="00EC728D">
            <w:pPr>
              <w:pStyle w:val="ListBullet"/>
            </w:pPr>
            <w:r w:rsidRPr="00EC728D">
              <w:t>powershift transmissions</w:t>
            </w:r>
          </w:p>
          <w:p w:rsidR="00000000" w:rsidRPr="00EC728D" w:rsidP="00EC728D">
            <w:pPr>
              <w:pStyle w:val="ListBullet"/>
            </w:pPr>
            <w:r w:rsidRPr="00EC728D">
              <w:t>hydrostatic transmissions</w:t>
            </w:r>
          </w:p>
          <w:p w:rsidR="00000000" w:rsidRPr="00EC728D" w:rsidP="00EC728D">
            <w:pPr>
              <w:pStyle w:val="ListBullet"/>
            </w:pPr>
            <w:r w:rsidRPr="00EC728D">
              <w:t>fluid coupling/torque converter assemblies</w:t>
            </w:r>
          </w:p>
          <w:p w:rsidR="00000000" w:rsidRPr="00EC728D" w:rsidP="00EC728D">
            <w:pPr>
              <w:pStyle w:val="ListBullet"/>
            </w:pPr>
            <w:r w:rsidRPr="00EC728D">
              <w:t>continuously variable transmission (CVT)</w:t>
            </w:r>
          </w:p>
          <w:p w:rsidR="00000000" w:rsidP="00EC728D">
            <w:pPr>
              <w:pStyle w:val="BodyText"/>
              <w:rPr>
                <w:lang w:val="en-NZ"/>
              </w:rPr>
            </w:pPr>
          </w:p>
        </w:tc>
      </w:tr>
      <w:tr w:rsidTr="00EC7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8D">
            <w:pPr>
              <w:pStyle w:val="BodyText"/>
              <w:rPr>
                <w:lang w:val="en-NZ"/>
              </w:rPr>
            </w:pPr>
            <w:r w:rsidRPr="00EC728D">
              <w:rPr>
                <w:rStyle w:val="SpecialBold"/>
              </w:rPr>
              <w:t>Control of lockup/shifting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8D" w:rsidP="00EC728D">
            <w:pPr>
              <w:pStyle w:val="ListBullet"/>
            </w:pPr>
            <w:r w:rsidRPr="00EC728D">
              <w:t>fully hydraulic</w:t>
            </w:r>
          </w:p>
          <w:p w:rsidR="00000000" w:rsidRPr="00EC728D" w:rsidP="00EC728D">
            <w:pPr>
              <w:pStyle w:val="ListBullet"/>
            </w:pPr>
            <w:r w:rsidRPr="00EC728D">
              <w:t>electronic</w:t>
            </w:r>
          </w:p>
          <w:p w:rsidR="00000000" w:rsidRPr="00EC728D" w:rsidP="00EC728D">
            <w:pPr>
              <w:pStyle w:val="BodyText"/>
            </w:pPr>
          </w:p>
        </w:tc>
      </w:tr>
    </w:tbl>
    <w:p w:rsidR="00000000" w:rsidRPr="00EC728D" w:rsidP="00EC728D">
      <w:pPr>
        <w:pStyle w:val="BodyText"/>
      </w:pPr>
    </w:p>
    <w:p w:rsidR="00000000" w:rsidRPr="00EC728D" w:rsidP="00EC728D">
      <w:pPr>
        <w:pStyle w:val="AllowPageBreak"/>
      </w:pPr>
    </w:p>
    <w:p w:rsidR="00000000" w:rsidRPr="00EC728D" w:rsidP="00EC728D">
      <w:pPr>
        <w:pStyle w:val="Heading1"/>
      </w:pPr>
      <w:bookmarkStart w:id="8" w:name="O_951807"/>
      <w:bookmarkEnd w:id="8"/>
      <w:r w:rsidRPr="00EC728D">
        <w:t>Unit Mapping Information</w:t>
      </w:r>
    </w:p>
    <w:p w:rsidR="00000000" w:rsidRPr="00EC728D" w:rsidP="00A728C9">
      <w:pPr>
        <w:pStyle w:val="BodyText"/>
      </w:pPr>
      <w:r w:rsidRPr="00EC728D">
        <w:t xml:space="preserve">Release 1. Supersedes and is equivalent to MEM18043C Diagnose and rectify automatic transmissions </w:t>
      </w:r>
    </w:p>
    <w:p w:rsidR="00000000" w:rsidRPr="00EC728D" w:rsidP="00EC728D">
      <w:pPr>
        <w:pStyle w:val="Heading1"/>
      </w:pPr>
      <w:bookmarkStart w:id="9" w:name="O_951800"/>
      <w:bookmarkEnd w:id="9"/>
      <w:r w:rsidRPr="00EC728D">
        <w:t>Links</w:t>
      </w:r>
    </w:p>
    <w:p w:rsidR="00000000" w:rsidRPr="00EC728D" w:rsidP="00A728C9">
      <w:pPr>
        <w:pStyle w:val="BodyText"/>
      </w:pPr>
      <w:r w:rsidRPr="00EC7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24F8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728D" w:rsidP="00EC728D"/>
    <w:sectPr w:rsidSect="00EC7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8D" w:rsidRPr="00A728C9" w:rsidP="00A72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8C9" w:rsidP="00EC7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8C9" w:rsidP="00EC7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28C9" w:rsidP="00EC7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28D" w:rsidRPr="00A728C9" w:rsidP="00A72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8C9" w:rsidRPr="002D2AF8" w:rsidP="00EC7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MEM27014 Diagnose and rectify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28C9" w:rsidP="00EC7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23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D6D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28D"/>
  </w:style>
  <w:style w:type="character" w:customStyle="1" w:styleId="Heading1Char">
    <w:name w:val="Heading 1 Char"/>
    <w:basedOn w:val="DefaultParagraphFont"/>
    <w:link w:val="Heading1"/>
    <w:rsid w:val="00EC7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2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28D"/>
    <w:rPr>
      <w:b/>
      <w:spacing w:val="0"/>
    </w:rPr>
  </w:style>
  <w:style w:type="paragraph" w:customStyle="1" w:styleId="SuperHeading">
    <w:name w:val="SuperHeading"/>
    <w:basedOn w:val="Normal"/>
    <w:rsid w:val="00EC7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2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28D"/>
    <w:rPr>
      <w:i/>
    </w:rPr>
  </w:style>
  <w:style w:type="paragraph" w:styleId="Caption">
    <w:name w:val="caption"/>
    <w:basedOn w:val="BodyText"/>
    <w:next w:val="Normal"/>
    <w:qFormat/>
    <w:rsid w:val="00EC7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28D"/>
  </w:style>
  <w:style w:type="paragraph" w:styleId="TableofFigures">
    <w:name w:val="table of figures"/>
    <w:basedOn w:val="Normal"/>
    <w:next w:val="Normal"/>
    <w:semiHidden/>
    <w:rsid w:val="00EC7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2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728D"/>
    <w:rPr>
      <w:rFonts w:ascii="Wingdings" w:hAnsi="Wingdings"/>
    </w:rPr>
  </w:style>
  <w:style w:type="paragraph" w:customStyle="1" w:styleId="TableHeading">
    <w:name w:val="Table Heading"/>
    <w:basedOn w:val="HeadingBase"/>
    <w:rsid w:val="00EC7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28D"/>
    <w:rPr>
      <w:color w:val="0033CC"/>
      <w:u w:val="none"/>
    </w:rPr>
  </w:style>
  <w:style w:type="paragraph" w:customStyle="1" w:styleId="BodyTextRight">
    <w:name w:val="Body Text Right"/>
    <w:basedOn w:val="BodyText"/>
    <w:rsid w:val="00EC7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2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28D"/>
    <w:rPr>
      <w:sz w:val="32"/>
    </w:rPr>
  </w:style>
  <w:style w:type="paragraph" w:customStyle="1" w:styleId="HeadingProcedure">
    <w:name w:val="Heading Procedure"/>
    <w:basedOn w:val="HeadingBase"/>
    <w:next w:val="Normal"/>
    <w:rsid w:val="00EC7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28D"/>
    <w:pPr>
      <w:spacing w:before="60" w:after="60"/>
    </w:pPr>
  </w:style>
  <w:style w:type="paragraph" w:styleId="ListContinue">
    <w:name w:val="List Continue"/>
    <w:basedOn w:val="List"/>
    <w:rsid w:val="00EC728D"/>
    <w:pPr>
      <w:ind w:firstLine="0"/>
    </w:pPr>
  </w:style>
  <w:style w:type="paragraph" w:customStyle="1" w:styleId="ListNote">
    <w:name w:val="List Note"/>
    <w:basedOn w:val="List"/>
    <w:rsid w:val="00EC7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28D"/>
    <w:rPr>
      <w:rFonts w:ascii="Courier New" w:hAnsi="Courier New"/>
    </w:rPr>
  </w:style>
  <w:style w:type="paragraph" w:customStyle="1" w:styleId="NoteBullet">
    <w:name w:val="Note Bullet"/>
    <w:basedOn w:val="Note"/>
    <w:rsid w:val="00EC7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2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28D"/>
    <w:rPr>
      <w:b/>
      <w:smallCaps/>
    </w:rPr>
  </w:style>
  <w:style w:type="paragraph" w:customStyle="1" w:styleId="TableListNumber">
    <w:name w:val="Table List Number"/>
    <w:basedOn w:val="ListNumber"/>
    <w:rsid w:val="00EC7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28D"/>
    <w:pPr>
      <w:numPr>
        <w:numId w:val="8"/>
      </w:numPr>
    </w:pPr>
  </w:style>
  <w:style w:type="paragraph" w:customStyle="1" w:styleId="ListAlpha2">
    <w:name w:val="List Alpha 2"/>
    <w:basedOn w:val="List2"/>
    <w:rsid w:val="00EC728D"/>
    <w:pPr>
      <w:numPr>
        <w:numId w:val="7"/>
      </w:numPr>
    </w:pPr>
  </w:style>
  <w:style w:type="paragraph" w:styleId="List2">
    <w:name w:val="List 2"/>
    <w:basedOn w:val="BodyText"/>
    <w:rsid w:val="00EC7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2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2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728D"/>
    <w:pPr>
      <w:numPr>
        <w:numId w:val="3"/>
      </w:numPr>
    </w:pPr>
  </w:style>
  <w:style w:type="paragraph" w:styleId="ListContinue2">
    <w:name w:val="List Continue 2"/>
    <w:basedOn w:val="List2"/>
    <w:rsid w:val="00EC728D"/>
    <w:pPr>
      <w:ind w:firstLine="0"/>
    </w:pPr>
  </w:style>
  <w:style w:type="paragraph" w:styleId="ListContinue3">
    <w:name w:val="List Continue 3"/>
    <w:basedOn w:val="List3"/>
    <w:rsid w:val="00EC728D"/>
    <w:pPr>
      <w:ind w:left="1021" w:firstLine="0"/>
    </w:pPr>
  </w:style>
  <w:style w:type="paragraph" w:styleId="ListContinue4">
    <w:name w:val="List Continue 4"/>
    <w:basedOn w:val="List4"/>
    <w:rsid w:val="00EC728D"/>
    <w:pPr>
      <w:ind w:firstLine="0"/>
    </w:pPr>
  </w:style>
  <w:style w:type="paragraph" w:styleId="ListContinue5">
    <w:name w:val="List Continue 5"/>
    <w:basedOn w:val="List5"/>
    <w:rsid w:val="00EC728D"/>
    <w:pPr>
      <w:ind w:firstLine="0"/>
    </w:pPr>
  </w:style>
  <w:style w:type="paragraph" w:styleId="ListNumber3">
    <w:name w:val="List Number 3"/>
    <w:basedOn w:val="List3"/>
    <w:rsid w:val="00EC728D"/>
    <w:pPr>
      <w:numPr>
        <w:numId w:val="4"/>
      </w:numPr>
    </w:pPr>
  </w:style>
  <w:style w:type="paragraph" w:styleId="ListNumber4">
    <w:name w:val="List Number 4"/>
    <w:basedOn w:val="List4"/>
    <w:rsid w:val="00EC728D"/>
    <w:pPr>
      <w:numPr>
        <w:numId w:val="5"/>
      </w:numPr>
    </w:pPr>
  </w:style>
  <w:style w:type="paragraph" w:styleId="ListNumber5">
    <w:name w:val="List Number 5"/>
    <w:basedOn w:val="List5"/>
    <w:rsid w:val="00EC728D"/>
    <w:pPr>
      <w:numPr>
        <w:numId w:val="6"/>
      </w:numPr>
    </w:pPr>
  </w:style>
  <w:style w:type="paragraph" w:styleId="BlockText">
    <w:name w:val="Block Text"/>
    <w:basedOn w:val="Normal"/>
    <w:rsid w:val="00EC7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28D"/>
    <w:rPr>
      <w:sz w:val="16"/>
      <w:vertAlign w:val="superscript"/>
    </w:rPr>
  </w:style>
  <w:style w:type="character" w:customStyle="1" w:styleId="Symbols">
    <w:name w:val="Symbols"/>
    <w:basedOn w:val="DefaultParagraphFont"/>
    <w:rsid w:val="00EC728D"/>
    <w:rPr>
      <w:rFonts w:ascii="Symbol" w:hAnsi="Symbol"/>
    </w:rPr>
  </w:style>
  <w:style w:type="character" w:customStyle="1" w:styleId="MenuOptions">
    <w:name w:val="Menu Options"/>
    <w:basedOn w:val="DefaultParagraphFont"/>
    <w:rsid w:val="00EC7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28D"/>
    <w:rPr>
      <w:b/>
    </w:rPr>
  </w:style>
  <w:style w:type="character" w:customStyle="1" w:styleId="Underlined">
    <w:name w:val="Underlined"/>
    <w:basedOn w:val="DefaultParagraphFont"/>
    <w:rsid w:val="00EC728D"/>
    <w:rPr>
      <w:u w:val="single"/>
    </w:rPr>
  </w:style>
  <w:style w:type="paragraph" w:customStyle="1" w:styleId="TableBodyTextRight">
    <w:name w:val="Table Body Text Right"/>
    <w:basedOn w:val="TableBodyText"/>
    <w:rsid w:val="00EC7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28D"/>
    <w:rPr>
      <w:sz w:val="18"/>
    </w:rPr>
  </w:style>
  <w:style w:type="paragraph" w:customStyle="1" w:styleId="BodySmallRight">
    <w:name w:val="Body Small Right"/>
    <w:basedOn w:val="BodyTextRight"/>
    <w:rsid w:val="00EC728D"/>
    <w:rPr>
      <w:sz w:val="18"/>
      <w:szCs w:val="18"/>
    </w:rPr>
  </w:style>
  <w:style w:type="paragraph" w:customStyle="1" w:styleId="MarginEdition">
    <w:name w:val="Margin Edition"/>
    <w:basedOn w:val="MarginNote"/>
    <w:rsid w:val="00EC7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28D"/>
    <w:rPr>
      <w:sz w:val="2"/>
      <w:szCs w:val="2"/>
    </w:rPr>
  </w:style>
  <w:style w:type="character" w:customStyle="1" w:styleId="Small">
    <w:name w:val="Small"/>
    <w:basedOn w:val="DefaultParagraphFont"/>
    <w:rsid w:val="00EC728D"/>
    <w:rPr>
      <w:sz w:val="16"/>
    </w:rPr>
  </w:style>
  <w:style w:type="paragraph" w:customStyle="1" w:styleId="WideTable">
    <w:name w:val="Wide Table"/>
    <w:basedOn w:val="Normal"/>
    <w:rsid w:val="00EC7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28D"/>
  </w:style>
  <w:style w:type="paragraph" w:styleId="Quote">
    <w:name w:val="Quote"/>
    <w:basedOn w:val="Heading1"/>
    <w:link w:val="QuoteChar"/>
    <w:qFormat/>
    <w:rsid w:val="00EC7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28D"/>
    <w:pPr>
      <w:pageBreakBefore/>
    </w:pPr>
  </w:style>
  <w:style w:type="paragraph" w:customStyle="1" w:styleId="Border">
    <w:name w:val="Border"/>
    <w:basedOn w:val="Normal"/>
    <w:qFormat/>
    <w:rsid w:val="00EC7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28D"/>
    <w:rPr>
      <w:u w:val="single"/>
    </w:rPr>
  </w:style>
  <w:style w:type="character" w:customStyle="1" w:styleId="BoldandItalics">
    <w:name w:val="Bold and Italics"/>
    <w:qFormat/>
    <w:rsid w:val="00EC728D"/>
    <w:rPr>
      <w:b/>
      <w:i/>
      <w:u w:val="none"/>
    </w:rPr>
  </w:style>
  <w:style w:type="paragraph" w:styleId="BalloonText">
    <w:name w:val="Balloon Text"/>
    <w:basedOn w:val="Normal"/>
    <w:link w:val="BalloonTextChar"/>
    <w:rsid w:val="00EC7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28D"/>
    <w:pPr>
      <w:spacing w:before="0" w:after="0"/>
    </w:pPr>
  </w:style>
  <w:style w:type="paragraph" w:customStyle="1" w:styleId="BodyTextBold">
    <w:name w:val="Body Text Bold"/>
    <w:basedOn w:val="BodyText"/>
    <w:qFormat/>
    <w:rsid w:val="00EC728D"/>
    <w:rPr>
      <w:b/>
    </w:rPr>
  </w:style>
  <w:style w:type="character" w:styleId="Hyperlink">
    <w:name w:val="Hyperlink"/>
    <w:basedOn w:val="DefaultParagraphFont"/>
    <w:uiPriority w:val="99"/>
    <w:unhideWhenUsed/>
    <w:rsid w:val="00A72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3720</Characters>
  <Application>Microsoft Office Word</Application>
  <DocSecurity>0</DocSecurity>
  <Lines>195</Lines>
  <Paragraphs>109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MEM27014 Diagnose and rectify automatic transmissions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