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E90" w:rsidP="003B0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MEM27011 Maintain track type undercarriage on mobile plant</w:t>
      </w:r>
      <w:r>
        <w:fldChar w:fldCharType="end"/>
      </w:r>
    </w:p>
    <w:p w:rsidR="003B0E90" w:rsidP="003B0E90">
      <w:pPr>
        <w:pStyle w:val="Version"/>
        <w:sectPr w:rsidSect="00EC0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FA0" w:rsidP="00EC0FA0">
      <w:pPr>
        <w:pStyle w:val="SuperHeading"/>
      </w:pPr>
      <w:r w:rsidRPr="00EC0FA0">
        <w:t>MEM27011 Maintain track type undercarriage on mobile plant</w:t>
      </w:r>
    </w:p>
    <w:p w:rsidR="00000000" w:rsidRPr="00EC0FA0" w:rsidP="00EC0FA0">
      <w:pPr>
        <w:pStyle w:val="Heading1"/>
      </w:pPr>
      <w:bookmarkStart w:id="1" w:name="O_951749"/>
      <w:bookmarkEnd w:id="1"/>
      <w:r w:rsidRPr="00EC0FA0">
        <w:t>Modification History</w:t>
      </w:r>
    </w:p>
    <w:p w:rsidR="00000000" w:rsidRPr="00EC0FA0" w:rsidP="003B0E90">
      <w:pPr>
        <w:pStyle w:val="BodyText"/>
      </w:pPr>
      <w:r w:rsidRPr="00EC0FA0">
        <w:t xml:space="preserve">Release 1. Supersedes and is equivalent to MEM18039B Diagnose and rectify track type undercarriage </w:t>
      </w:r>
    </w:p>
    <w:p w:rsidR="00000000" w:rsidRPr="00EC0FA0" w:rsidP="00EC0FA0">
      <w:pPr>
        <w:pStyle w:val="Heading1"/>
      </w:pPr>
      <w:bookmarkStart w:id="2" w:name="O_951757"/>
      <w:bookmarkEnd w:id="2"/>
      <w:r w:rsidRPr="00EC0FA0">
        <w:t>Application</w:t>
      </w:r>
    </w:p>
    <w:p w:rsidR="00000000" w:rsidRPr="00EC0FA0" w:rsidP="003B0E90">
      <w:pPr>
        <w:pStyle w:val="BodyText"/>
      </w:pPr>
      <w:r w:rsidRPr="00EC0FA0">
        <w:t>This unit of competency defines the skills and knowledge required to maintain track assemb</w:t>
      </w:r>
      <w:r w:rsidRPr="00EC0FA0">
        <w:t>lies, including checking components, clearances, tension and replacing any faulty components.</w:t>
      </w:r>
    </w:p>
    <w:p w:rsidR="00000000" w:rsidRPr="00EC0FA0" w:rsidP="003B0E90">
      <w:pPr>
        <w:pStyle w:val="BodyText"/>
      </w:pPr>
      <w:r w:rsidRPr="00EC0FA0">
        <w:t>It covers mobile plant equipment that uses crawler belts and/or chain links.</w:t>
      </w:r>
    </w:p>
    <w:p w:rsidR="00000000" w:rsidRPr="00EC0FA0" w:rsidP="003B0E90">
      <w:pPr>
        <w:pStyle w:val="BodyText"/>
      </w:pPr>
      <w:r w:rsidRPr="00EC0FA0">
        <w:t>No licensing, legislative or certification requirements apply to this unit at the t</w:t>
      </w:r>
      <w:r w:rsidRPr="00EC0FA0">
        <w:t>ime of publication.</w:t>
      </w:r>
    </w:p>
    <w:p w:rsidR="00000000" w:rsidRPr="00EC0FA0" w:rsidP="00EC0FA0">
      <w:pPr>
        <w:pStyle w:val="BodyText"/>
      </w:pPr>
      <w:r w:rsidRPr="00EC0FA0">
        <w:rPr>
          <w:rStyle w:val="SpecialBold"/>
        </w:rPr>
        <w:t>Band</w:t>
      </w:r>
      <w:r w:rsidRPr="00EC0FA0">
        <w:t>:</w:t>
      </w:r>
      <w:r w:rsidRPr="00EC0FA0">
        <w:tab/>
      </w:r>
      <w:r w:rsidRPr="00EC0FA0">
        <w:rPr>
          <w:rStyle w:val="SpecialBold"/>
        </w:rPr>
        <w:t>A</w:t>
      </w:r>
    </w:p>
    <w:p w:rsidR="00000000" w:rsidRPr="00EC0FA0" w:rsidP="00EC0FA0">
      <w:pPr>
        <w:pStyle w:val="BodyText"/>
      </w:pPr>
      <w:r w:rsidRPr="00EC0FA0">
        <w:rPr>
          <w:rStyle w:val="SpecialBold"/>
        </w:rPr>
        <w:t>Unit Weight</w:t>
      </w:r>
      <w:r w:rsidRPr="00EC0FA0">
        <w:t>:</w:t>
      </w:r>
      <w:r w:rsidRPr="00EC0FA0">
        <w:tab/>
      </w:r>
      <w:r w:rsidRPr="00EC0FA0">
        <w:rPr>
          <w:rStyle w:val="SpecialBold"/>
        </w:rPr>
        <w:t>4</w:t>
      </w:r>
    </w:p>
    <w:p w:rsidR="00000000" w:rsidRPr="00EC0FA0" w:rsidP="00EC0FA0">
      <w:pPr>
        <w:pStyle w:val="AllowPageBreak"/>
      </w:pPr>
    </w:p>
    <w:p w:rsidR="00000000" w:rsidRPr="00EC0FA0" w:rsidP="00EC0FA0">
      <w:pPr>
        <w:pStyle w:val="Heading1"/>
      </w:pPr>
      <w:bookmarkStart w:id="3" w:name="O_951756"/>
      <w:bookmarkEnd w:id="3"/>
      <w:r w:rsidRPr="00EC0FA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6"/>
        <w:gridCol w:w="6616"/>
      </w:tblGrid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MEM09002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Interpret technical drawing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MEM11011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Undertake manual handling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MEM12023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Perform engineering measurements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MEM13015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Work safely and effectively in manufacturing and engineering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MEM16006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Organise and communicate information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MEM18001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Use hand tools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MEM18002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Use power tools/hand held operations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MEM18055</w:t>
            </w:r>
          </w:p>
        </w:tc>
        <w:tc>
          <w:tcPr>
            <w:tcW w:w="6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A0" w:rsidP="00EC0FA0">
            <w:pPr>
              <w:pStyle w:val="BodyText"/>
            </w:pPr>
            <w:r w:rsidRPr="00EC0FA0">
              <w:t>Dismantle, replace and assemble engineering components</w:t>
            </w:r>
          </w:p>
        </w:tc>
      </w:tr>
    </w:tbl>
    <w:p w:rsidR="00000000" w:rsidRPr="00EC0FA0" w:rsidP="00EC0FA0">
      <w:pPr>
        <w:pStyle w:val="BodyText"/>
      </w:pPr>
    </w:p>
    <w:p w:rsidR="00000000" w:rsidRPr="00EC0FA0" w:rsidP="00EC0FA0">
      <w:pPr>
        <w:pStyle w:val="AllowPageBreak"/>
      </w:pPr>
    </w:p>
    <w:p w:rsidR="00000000" w:rsidRPr="00EC0FA0" w:rsidP="00EC0FA0">
      <w:pPr>
        <w:pStyle w:val="Heading1"/>
      </w:pPr>
      <w:bookmarkStart w:id="4" w:name="O_951755"/>
      <w:bookmarkEnd w:id="4"/>
      <w:r w:rsidRPr="00EC0FA0">
        <w:t>Competency Field</w:t>
      </w:r>
    </w:p>
    <w:p w:rsidR="00000000" w:rsidRPr="00EC0FA0" w:rsidP="003B0E90">
      <w:pPr>
        <w:pStyle w:val="BodyText"/>
      </w:pPr>
      <w:r w:rsidRPr="00EC0FA0">
        <w:t>Fixed and mobile plant</w:t>
      </w:r>
    </w:p>
    <w:p w:rsidR="00000000" w:rsidRPr="00EC0FA0" w:rsidP="00EC0FA0">
      <w:pPr>
        <w:pStyle w:val="Heading1"/>
      </w:pPr>
      <w:bookmarkStart w:id="5" w:name="O_951753"/>
      <w:bookmarkEnd w:id="5"/>
      <w:r w:rsidRPr="00EC0F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Performance criteria describe the performance needed to demonstrate achievement of the element.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A0" w:rsidP="00EC0FA0">
            <w:pPr>
              <w:pStyle w:val="BodyText"/>
            </w:pPr>
            <w:r w:rsidRPr="00EC0FA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Follow standard operating procedures (SOPs)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Comply with work health and safety (WHS) requirements at all times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Use appropriate personal protective equipment (PPE) in accordance with SOPs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Identify job requirements from specifications, drawings, job sheets or work instructions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A0" w:rsidP="00EC0FA0">
            <w:pPr>
              <w:pStyle w:val="BodyText"/>
            </w:pPr>
            <w:r w:rsidRPr="00EC0FA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rPr>
                <w:rStyle w:val="SpecialBold"/>
              </w:rPr>
              <w:t>Assess track assembly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Apply operating principles and terminology of track type undercarriage in assessing track assembly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 xml:space="preserve">Inspect for wear or damage and determine if component requires repair or replacement 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Check track frame alignment and determine variances from specifications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A0" w:rsidP="00EC0FA0">
            <w:pPr>
              <w:pStyle w:val="BodyText"/>
            </w:pPr>
            <w:r w:rsidRPr="00EC0FA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rPr>
                <w:rStyle w:val="SpecialBold"/>
              </w:rPr>
              <w:t>Rectify and maintain track assemblies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 xml:space="preserve">Remove, repair or replace faulty track undercarriage components 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Set track tension to specification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Adjust clearances to specification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A0" w:rsidP="00EC0FA0">
            <w:pPr>
              <w:pStyle w:val="BodyText"/>
            </w:pPr>
            <w:r w:rsidRPr="00EC0FA0">
              <w:t>Record all service/rectification activities</w:t>
            </w:r>
          </w:p>
        </w:tc>
      </w:tr>
    </w:tbl>
    <w:p w:rsidR="00000000" w:rsidRPr="00EC0FA0" w:rsidP="00EC0FA0">
      <w:pPr>
        <w:pStyle w:val="BodyText"/>
      </w:pPr>
    </w:p>
    <w:p w:rsidR="00000000" w:rsidRPr="00EC0FA0" w:rsidP="00EC0FA0">
      <w:pPr>
        <w:pStyle w:val="AllowPageBreak"/>
      </w:pPr>
    </w:p>
    <w:p w:rsidR="00000000" w:rsidRPr="00EC0FA0" w:rsidP="00EC0FA0">
      <w:pPr>
        <w:pStyle w:val="Heading1"/>
      </w:pPr>
      <w:bookmarkStart w:id="6" w:name="O_951752"/>
      <w:bookmarkEnd w:id="6"/>
      <w:r w:rsidRPr="00EC0FA0">
        <w:t>Foundation Skills</w:t>
      </w:r>
    </w:p>
    <w:p w:rsidR="00000000" w:rsidRPr="00EC0FA0" w:rsidP="003B0E90">
      <w:pPr>
        <w:pStyle w:val="BodyText"/>
      </w:pPr>
      <w:r w:rsidRPr="00EC0FA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C0FA0" w:rsidP="003B0E90">
      <w:pPr>
        <w:pStyle w:val="BodyText"/>
      </w:pPr>
      <w:r w:rsidRPr="00EC0FA0">
        <w:t xml:space="preserve">Foundation skills essential to performance are explicit in the performance criteria </w:t>
      </w:r>
      <w:r w:rsidRPr="00EC0FA0">
        <w:t>of this unit of competency.</w:t>
      </w:r>
    </w:p>
    <w:p w:rsidR="00000000" w:rsidRPr="00EC0FA0" w:rsidP="00EC0FA0">
      <w:pPr>
        <w:pStyle w:val="Heading1"/>
      </w:pPr>
      <w:bookmarkStart w:id="7" w:name="O_951751"/>
      <w:bookmarkEnd w:id="7"/>
      <w:r w:rsidRPr="00EC0FA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t>This field allows for different work environments and conditions that may affect performance. Essential operating conditions that may be present (depending on the work situation, needs of the</w:t>
            </w:r>
            <w:r w:rsidRPr="00EC0FA0">
              <w:t xml:space="preserve"> candidate, accessibility of the item, and local industry and regional contexts) are included.</w:t>
            </w:r>
          </w:p>
        </w:tc>
      </w:tr>
      <w:tr w:rsidTr="00EC0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A0">
            <w:pPr>
              <w:pStyle w:val="BodyText"/>
              <w:rPr>
                <w:lang w:val="en-NZ"/>
              </w:rPr>
            </w:pPr>
            <w:r w:rsidRPr="00EC0FA0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A0" w:rsidP="00EC0FA0">
            <w:pPr>
              <w:pStyle w:val="ListBullet"/>
            </w:pPr>
            <w:r w:rsidRPr="00EC0FA0">
              <w:t>links</w:t>
            </w:r>
          </w:p>
          <w:p w:rsidR="00000000" w:rsidRPr="00EC0FA0" w:rsidP="00EC0FA0">
            <w:pPr>
              <w:pStyle w:val="ListBullet"/>
            </w:pPr>
            <w:r w:rsidRPr="00EC0FA0">
              <w:t>pins</w:t>
            </w:r>
          </w:p>
          <w:p w:rsidR="00000000" w:rsidRPr="00EC0FA0" w:rsidP="00EC0FA0">
            <w:pPr>
              <w:pStyle w:val="ListBullet"/>
            </w:pPr>
            <w:r w:rsidRPr="00EC0FA0">
              <w:t xml:space="preserve">sprockets </w:t>
            </w:r>
          </w:p>
          <w:p w:rsidR="00000000" w:rsidRPr="00EC0FA0" w:rsidP="00EC0FA0">
            <w:pPr>
              <w:pStyle w:val="ListBullet"/>
            </w:pPr>
            <w:r w:rsidRPr="00EC0FA0">
              <w:t xml:space="preserve">idlers </w:t>
            </w:r>
          </w:p>
          <w:p w:rsidR="00000000" w:rsidRPr="00EC0FA0" w:rsidP="00EC0FA0">
            <w:pPr>
              <w:pStyle w:val="ListBullet"/>
            </w:pPr>
            <w:r w:rsidRPr="00EC0FA0">
              <w:t xml:space="preserve">rollers and pads </w:t>
            </w:r>
          </w:p>
          <w:p w:rsidR="00000000" w:rsidRPr="00EC0FA0" w:rsidP="00EC0FA0">
            <w:pPr>
              <w:pStyle w:val="ListBullet"/>
            </w:pPr>
            <w:r w:rsidRPr="00EC0FA0">
              <w:t>track chains</w:t>
            </w:r>
          </w:p>
          <w:p w:rsidR="00000000" w:rsidRPr="00EC0FA0" w:rsidP="00EC0FA0">
            <w:pPr>
              <w:pStyle w:val="ListBullet"/>
            </w:pPr>
            <w:r w:rsidRPr="00EC0FA0">
              <w:t>tensioners</w:t>
            </w:r>
          </w:p>
          <w:p w:rsidR="00000000" w:rsidRPr="00EC0FA0" w:rsidP="00EC0FA0">
            <w:pPr>
              <w:pStyle w:val="ListBullet"/>
            </w:pPr>
            <w:r w:rsidRPr="00EC0FA0">
              <w:t>sensors and monitoring module</w:t>
            </w:r>
          </w:p>
          <w:p w:rsidR="00000000" w:rsidRPr="00EC0FA0" w:rsidP="00EC0FA0">
            <w:pPr>
              <w:pStyle w:val="BodyText"/>
            </w:pPr>
          </w:p>
        </w:tc>
      </w:tr>
    </w:tbl>
    <w:p w:rsidR="00000000" w:rsidRPr="00EC0FA0" w:rsidP="00EC0FA0">
      <w:pPr>
        <w:pStyle w:val="BodyText"/>
      </w:pPr>
    </w:p>
    <w:p w:rsidR="00000000" w:rsidRPr="00EC0FA0" w:rsidP="00EC0FA0">
      <w:pPr>
        <w:pStyle w:val="AllowPageBreak"/>
      </w:pPr>
    </w:p>
    <w:p w:rsidR="00000000" w:rsidRPr="00EC0FA0" w:rsidP="00EC0FA0">
      <w:pPr>
        <w:pStyle w:val="Heading1"/>
      </w:pPr>
      <w:bookmarkStart w:id="8" w:name="O_951750"/>
      <w:bookmarkEnd w:id="8"/>
      <w:r w:rsidRPr="00EC0FA0">
        <w:t>Unit Mapping Information</w:t>
      </w:r>
    </w:p>
    <w:p w:rsidR="00000000" w:rsidRPr="00EC0FA0" w:rsidP="003B0E90">
      <w:pPr>
        <w:pStyle w:val="BodyText"/>
      </w:pPr>
      <w:r w:rsidRPr="00EC0FA0">
        <w:t xml:space="preserve">Release 1. Supersedes and is equivalent to MEM18039B Diagnose and rectify track type undercarriage </w:t>
      </w:r>
    </w:p>
    <w:p w:rsidR="00000000" w:rsidRPr="00EC0FA0" w:rsidP="00EC0FA0">
      <w:pPr>
        <w:pStyle w:val="Heading1"/>
      </w:pPr>
      <w:bookmarkStart w:id="9" w:name="O_951743"/>
      <w:bookmarkEnd w:id="9"/>
      <w:r w:rsidRPr="00EC0FA0">
        <w:t>Links</w:t>
      </w:r>
    </w:p>
    <w:p w:rsidR="00000000" w:rsidRPr="00EC0FA0" w:rsidP="003B0E90">
      <w:pPr>
        <w:pStyle w:val="BodyText"/>
      </w:pPr>
      <w:r w:rsidRPr="00EC0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021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0FA0" w:rsidP="00EC0FA0"/>
    <w:sectPr w:rsidSect="00EC0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A0" w:rsidRPr="003B0E90" w:rsidP="003B0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90" w:rsidP="00EC0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E90" w:rsidP="00EC0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0E90" w:rsidP="00EC0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FA0" w:rsidRPr="003B0E90" w:rsidP="003B0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90" w:rsidRPr="002D2AF8" w:rsidP="00EC0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MEM27011 Maintain track type undercarriage on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0E90" w:rsidP="00EC0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A21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803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FA0"/>
  </w:style>
  <w:style w:type="character" w:customStyle="1" w:styleId="Heading1Char">
    <w:name w:val="Heading 1 Char"/>
    <w:basedOn w:val="DefaultParagraphFont"/>
    <w:link w:val="Heading1"/>
    <w:rsid w:val="00EC0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F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FA0"/>
    <w:rPr>
      <w:b/>
      <w:spacing w:val="0"/>
    </w:rPr>
  </w:style>
  <w:style w:type="paragraph" w:customStyle="1" w:styleId="SuperHeading">
    <w:name w:val="SuperHeading"/>
    <w:basedOn w:val="Normal"/>
    <w:rsid w:val="00EC0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F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FA0"/>
    <w:rPr>
      <w:i/>
    </w:rPr>
  </w:style>
  <w:style w:type="paragraph" w:styleId="Caption">
    <w:name w:val="caption"/>
    <w:basedOn w:val="BodyText"/>
    <w:next w:val="Normal"/>
    <w:qFormat/>
    <w:rsid w:val="00EC0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FA0"/>
  </w:style>
  <w:style w:type="paragraph" w:styleId="TableofFigures">
    <w:name w:val="table of figures"/>
    <w:basedOn w:val="Normal"/>
    <w:next w:val="Normal"/>
    <w:semiHidden/>
    <w:rsid w:val="00EC0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F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0FA0"/>
    <w:rPr>
      <w:rFonts w:ascii="Wingdings" w:hAnsi="Wingdings"/>
    </w:rPr>
  </w:style>
  <w:style w:type="paragraph" w:customStyle="1" w:styleId="TableHeading">
    <w:name w:val="Table Heading"/>
    <w:basedOn w:val="HeadingBase"/>
    <w:rsid w:val="00EC0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FA0"/>
    <w:rPr>
      <w:color w:val="0033CC"/>
      <w:u w:val="none"/>
    </w:rPr>
  </w:style>
  <w:style w:type="paragraph" w:customStyle="1" w:styleId="BodyTextRight">
    <w:name w:val="Body Text Right"/>
    <w:basedOn w:val="BodyText"/>
    <w:rsid w:val="00EC0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F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FA0"/>
    <w:rPr>
      <w:sz w:val="32"/>
    </w:rPr>
  </w:style>
  <w:style w:type="paragraph" w:customStyle="1" w:styleId="HeadingProcedure">
    <w:name w:val="Heading Procedure"/>
    <w:basedOn w:val="HeadingBase"/>
    <w:next w:val="Normal"/>
    <w:rsid w:val="00EC0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FA0"/>
    <w:pPr>
      <w:spacing w:before="60" w:after="60"/>
    </w:pPr>
  </w:style>
  <w:style w:type="paragraph" w:styleId="ListContinue">
    <w:name w:val="List Continue"/>
    <w:basedOn w:val="List"/>
    <w:rsid w:val="00EC0FA0"/>
    <w:pPr>
      <w:ind w:firstLine="0"/>
    </w:pPr>
  </w:style>
  <w:style w:type="paragraph" w:customStyle="1" w:styleId="ListNote">
    <w:name w:val="List Note"/>
    <w:basedOn w:val="List"/>
    <w:rsid w:val="00EC0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FA0"/>
    <w:rPr>
      <w:rFonts w:ascii="Courier New" w:hAnsi="Courier New"/>
    </w:rPr>
  </w:style>
  <w:style w:type="paragraph" w:customStyle="1" w:styleId="NoteBullet">
    <w:name w:val="Note Bullet"/>
    <w:basedOn w:val="Note"/>
    <w:rsid w:val="00EC0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F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0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FA0"/>
    <w:rPr>
      <w:b/>
      <w:smallCaps/>
    </w:rPr>
  </w:style>
  <w:style w:type="paragraph" w:customStyle="1" w:styleId="TableListNumber">
    <w:name w:val="Table List Number"/>
    <w:basedOn w:val="ListNumber"/>
    <w:rsid w:val="00EC0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FA0"/>
    <w:pPr>
      <w:numPr>
        <w:numId w:val="8"/>
      </w:numPr>
    </w:pPr>
  </w:style>
  <w:style w:type="paragraph" w:customStyle="1" w:styleId="ListAlpha2">
    <w:name w:val="List Alpha 2"/>
    <w:basedOn w:val="List2"/>
    <w:rsid w:val="00EC0FA0"/>
    <w:pPr>
      <w:numPr>
        <w:numId w:val="7"/>
      </w:numPr>
    </w:pPr>
  </w:style>
  <w:style w:type="paragraph" w:styleId="List2">
    <w:name w:val="List 2"/>
    <w:basedOn w:val="BodyText"/>
    <w:rsid w:val="00EC0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F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F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0FA0"/>
    <w:pPr>
      <w:numPr>
        <w:numId w:val="3"/>
      </w:numPr>
    </w:pPr>
  </w:style>
  <w:style w:type="paragraph" w:styleId="ListContinue2">
    <w:name w:val="List Continue 2"/>
    <w:basedOn w:val="List2"/>
    <w:rsid w:val="00EC0FA0"/>
    <w:pPr>
      <w:ind w:firstLine="0"/>
    </w:pPr>
  </w:style>
  <w:style w:type="paragraph" w:styleId="ListContinue3">
    <w:name w:val="List Continue 3"/>
    <w:basedOn w:val="List3"/>
    <w:rsid w:val="00EC0FA0"/>
    <w:pPr>
      <w:ind w:left="1021" w:firstLine="0"/>
    </w:pPr>
  </w:style>
  <w:style w:type="paragraph" w:styleId="ListContinue4">
    <w:name w:val="List Continue 4"/>
    <w:basedOn w:val="List4"/>
    <w:rsid w:val="00EC0FA0"/>
    <w:pPr>
      <w:ind w:firstLine="0"/>
    </w:pPr>
  </w:style>
  <w:style w:type="paragraph" w:styleId="ListContinue5">
    <w:name w:val="List Continue 5"/>
    <w:basedOn w:val="List5"/>
    <w:rsid w:val="00EC0FA0"/>
    <w:pPr>
      <w:ind w:firstLine="0"/>
    </w:pPr>
  </w:style>
  <w:style w:type="paragraph" w:styleId="ListNumber3">
    <w:name w:val="List Number 3"/>
    <w:basedOn w:val="List3"/>
    <w:rsid w:val="00EC0FA0"/>
    <w:pPr>
      <w:numPr>
        <w:numId w:val="4"/>
      </w:numPr>
    </w:pPr>
  </w:style>
  <w:style w:type="paragraph" w:styleId="ListNumber4">
    <w:name w:val="List Number 4"/>
    <w:basedOn w:val="List4"/>
    <w:rsid w:val="00EC0FA0"/>
    <w:pPr>
      <w:numPr>
        <w:numId w:val="5"/>
      </w:numPr>
    </w:pPr>
  </w:style>
  <w:style w:type="paragraph" w:styleId="ListNumber5">
    <w:name w:val="List Number 5"/>
    <w:basedOn w:val="List5"/>
    <w:rsid w:val="00EC0FA0"/>
    <w:pPr>
      <w:numPr>
        <w:numId w:val="6"/>
      </w:numPr>
    </w:pPr>
  </w:style>
  <w:style w:type="paragraph" w:styleId="BlockText">
    <w:name w:val="Block Text"/>
    <w:basedOn w:val="Normal"/>
    <w:rsid w:val="00EC0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FA0"/>
    <w:rPr>
      <w:sz w:val="16"/>
      <w:vertAlign w:val="superscript"/>
    </w:rPr>
  </w:style>
  <w:style w:type="character" w:customStyle="1" w:styleId="Symbols">
    <w:name w:val="Symbols"/>
    <w:basedOn w:val="DefaultParagraphFont"/>
    <w:rsid w:val="00EC0FA0"/>
    <w:rPr>
      <w:rFonts w:ascii="Symbol" w:hAnsi="Symbol"/>
    </w:rPr>
  </w:style>
  <w:style w:type="character" w:customStyle="1" w:styleId="MenuOptions">
    <w:name w:val="Menu Options"/>
    <w:basedOn w:val="DefaultParagraphFont"/>
    <w:rsid w:val="00EC0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FA0"/>
    <w:rPr>
      <w:b/>
    </w:rPr>
  </w:style>
  <w:style w:type="character" w:customStyle="1" w:styleId="Underlined">
    <w:name w:val="Underlined"/>
    <w:basedOn w:val="DefaultParagraphFont"/>
    <w:rsid w:val="00EC0FA0"/>
    <w:rPr>
      <w:u w:val="single"/>
    </w:rPr>
  </w:style>
  <w:style w:type="paragraph" w:customStyle="1" w:styleId="TableBodyTextRight">
    <w:name w:val="Table Body Text Right"/>
    <w:basedOn w:val="TableBodyText"/>
    <w:rsid w:val="00EC0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FA0"/>
    <w:rPr>
      <w:sz w:val="18"/>
    </w:rPr>
  </w:style>
  <w:style w:type="paragraph" w:customStyle="1" w:styleId="BodySmallRight">
    <w:name w:val="Body Small Right"/>
    <w:basedOn w:val="BodyTextRight"/>
    <w:rsid w:val="00EC0FA0"/>
    <w:rPr>
      <w:sz w:val="18"/>
      <w:szCs w:val="18"/>
    </w:rPr>
  </w:style>
  <w:style w:type="paragraph" w:customStyle="1" w:styleId="MarginEdition">
    <w:name w:val="Margin Edition"/>
    <w:basedOn w:val="MarginNote"/>
    <w:rsid w:val="00EC0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FA0"/>
    <w:rPr>
      <w:sz w:val="2"/>
      <w:szCs w:val="2"/>
    </w:rPr>
  </w:style>
  <w:style w:type="character" w:customStyle="1" w:styleId="Small">
    <w:name w:val="Small"/>
    <w:basedOn w:val="DefaultParagraphFont"/>
    <w:rsid w:val="00EC0FA0"/>
    <w:rPr>
      <w:sz w:val="16"/>
    </w:rPr>
  </w:style>
  <w:style w:type="paragraph" w:customStyle="1" w:styleId="WideTable">
    <w:name w:val="Wide Table"/>
    <w:basedOn w:val="Normal"/>
    <w:rsid w:val="00EC0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FA0"/>
  </w:style>
  <w:style w:type="paragraph" w:styleId="Quote">
    <w:name w:val="Quote"/>
    <w:basedOn w:val="Heading1"/>
    <w:link w:val="QuoteChar"/>
    <w:qFormat/>
    <w:rsid w:val="00EC0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FA0"/>
    <w:pPr>
      <w:pageBreakBefore/>
    </w:pPr>
  </w:style>
  <w:style w:type="paragraph" w:customStyle="1" w:styleId="Border">
    <w:name w:val="Border"/>
    <w:basedOn w:val="Normal"/>
    <w:qFormat/>
    <w:rsid w:val="00EC0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FA0"/>
    <w:rPr>
      <w:u w:val="single"/>
    </w:rPr>
  </w:style>
  <w:style w:type="character" w:customStyle="1" w:styleId="BoldandItalics">
    <w:name w:val="Bold and Italics"/>
    <w:qFormat/>
    <w:rsid w:val="00EC0FA0"/>
    <w:rPr>
      <w:b/>
      <w:i/>
      <w:u w:val="none"/>
    </w:rPr>
  </w:style>
  <w:style w:type="paragraph" w:styleId="BalloonText">
    <w:name w:val="Balloon Text"/>
    <w:basedOn w:val="Normal"/>
    <w:link w:val="BalloonTextChar"/>
    <w:rsid w:val="00EC0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FA0"/>
    <w:pPr>
      <w:spacing w:before="0" w:after="0"/>
    </w:pPr>
  </w:style>
  <w:style w:type="paragraph" w:customStyle="1" w:styleId="BodyTextBold">
    <w:name w:val="Body Text Bold"/>
    <w:basedOn w:val="BodyText"/>
    <w:qFormat/>
    <w:rsid w:val="00EC0FA0"/>
    <w:rPr>
      <w:b/>
    </w:rPr>
  </w:style>
  <w:style w:type="character" w:styleId="Hyperlink">
    <w:name w:val="Hyperlink"/>
    <w:basedOn w:val="DefaultParagraphFont"/>
    <w:uiPriority w:val="99"/>
    <w:unhideWhenUsed/>
    <w:rsid w:val="003B0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2906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MEM27011 Maintain track type undercarriage on mobile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