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059" w:rsidP="00101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MEM27011 Maintain track type undercarriage on mobile plant</w:t>
      </w:r>
      <w:r>
        <w:fldChar w:fldCharType="end"/>
      </w:r>
    </w:p>
    <w:p w:rsidR="00101059" w:rsidP="00101059">
      <w:pPr>
        <w:pStyle w:val="Version"/>
        <w:sectPr w:rsidSect="00491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20F" w:rsidP="0049120F">
      <w:pPr>
        <w:pStyle w:val="SuperHeading"/>
      </w:pPr>
      <w:r w:rsidRPr="0049120F">
        <w:t>MEM27011 Maintain track type undercarriage on mobile plant</w:t>
      </w:r>
    </w:p>
    <w:p w:rsidR="00000000" w:rsidRPr="0049120F" w:rsidP="0049120F">
      <w:pPr>
        <w:pStyle w:val="Heading1"/>
      </w:pPr>
      <w:bookmarkStart w:id="1" w:name="O_951749"/>
      <w:bookmarkEnd w:id="1"/>
      <w:r w:rsidRPr="0049120F">
        <w:t>Modification History</w:t>
      </w:r>
    </w:p>
    <w:p w:rsidR="00000000" w:rsidRPr="0049120F" w:rsidP="00101059">
      <w:pPr>
        <w:pStyle w:val="BodyText"/>
      </w:pPr>
      <w:r w:rsidRPr="0049120F">
        <w:t xml:space="preserve">Release 1. Supersedes and is equivalent to MEM18039B Diagnose and rectify track type undercarriage </w:t>
      </w:r>
    </w:p>
    <w:p w:rsidR="00000000" w:rsidRPr="0049120F" w:rsidP="0049120F">
      <w:pPr>
        <w:pStyle w:val="Heading1"/>
      </w:pPr>
      <w:bookmarkStart w:id="2" w:name="O_951757"/>
      <w:bookmarkEnd w:id="2"/>
      <w:r w:rsidRPr="0049120F">
        <w:t>Application</w:t>
      </w:r>
    </w:p>
    <w:p w:rsidR="00000000" w:rsidRPr="0049120F" w:rsidP="00101059">
      <w:pPr>
        <w:pStyle w:val="BodyText"/>
      </w:pPr>
      <w:r w:rsidRPr="0049120F">
        <w:t>This unit of competency defines the skills and knowledge required to maintain track assemb</w:t>
      </w:r>
      <w:r w:rsidRPr="0049120F">
        <w:t>lies, including checking components, clearances, tension and replacing any faulty components.</w:t>
      </w:r>
    </w:p>
    <w:p w:rsidR="00000000" w:rsidRPr="0049120F" w:rsidP="00101059">
      <w:pPr>
        <w:pStyle w:val="BodyText"/>
      </w:pPr>
      <w:r w:rsidRPr="0049120F">
        <w:t>It covers mobile plant equipment that uses crawler belts and/or chain links.</w:t>
      </w:r>
    </w:p>
    <w:p w:rsidR="00000000" w:rsidRPr="0049120F" w:rsidP="00101059">
      <w:pPr>
        <w:pStyle w:val="BodyText"/>
      </w:pPr>
      <w:r w:rsidRPr="0049120F">
        <w:t>No licensing, legislative or certification requirements apply to this unit at the t</w:t>
      </w:r>
      <w:r w:rsidRPr="0049120F">
        <w:t>ime of publication.</w:t>
      </w:r>
    </w:p>
    <w:p w:rsidR="00000000" w:rsidRPr="0049120F" w:rsidP="0049120F">
      <w:pPr>
        <w:pStyle w:val="BodyText"/>
      </w:pPr>
      <w:r w:rsidRPr="0049120F">
        <w:rPr>
          <w:rStyle w:val="SpecialBold"/>
        </w:rPr>
        <w:t>Band</w:t>
      </w:r>
      <w:r w:rsidRPr="0049120F">
        <w:t>:</w:t>
      </w:r>
      <w:r w:rsidRPr="0049120F">
        <w:tab/>
      </w:r>
      <w:r w:rsidRPr="0049120F">
        <w:rPr>
          <w:rStyle w:val="SpecialBold"/>
        </w:rPr>
        <w:t>A</w:t>
      </w:r>
    </w:p>
    <w:p w:rsidR="00000000" w:rsidRPr="0049120F" w:rsidP="0049120F">
      <w:pPr>
        <w:pStyle w:val="BodyText"/>
      </w:pPr>
      <w:r w:rsidRPr="0049120F">
        <w:rPr>
          <w:rStyle w:val="SpecialBold"/>
        </w:rPr>
        <w:t>Unit Weight</w:t>
      </w:r>
      <w:r w:rsidRPr="0049120F">
        <w:t>:</w:t>
      </w:r>
      <w:r w:rsidRPr="0049120F">
        <w:tab/>
      </w:r>
      <w:r w:rsidRPr="0049120F">
        <w:rPr>
          <w:rStyle w:val="SpecialBold"/>
        </w:rPr>
        <w:t>4</w:t>
      </w: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3" w:name="O_951756"/>
      <w:bookmarkEnd w:id="3"/>
      <w:r w:rsidRPr="0049120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6"/>
        <w:gridCol w:w="6616"/>
      </w:tblGrid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MEM09002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Interpret technical drawing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MEM11011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Undertake manual handling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MEM12023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Perform engineering measurements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MEM13015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Work safely and effectively in manufacturing and engineering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MEM16006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Organise and communicate information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MEM18001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Use hand tools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MEM18002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Use power tools/hand held operations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MEM18055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0F" w:rsidP="0049120F">
            <w:pPr>
              <w:pStyle w:val="BodyText"/>
            </w:pPr>
            <w:r w:rsidRPr="0049120F">
              <w:t>Dismantle, replace and assemble engineering components</w:t>
            </w:r>
          </w:p>
        </w:tc>
      </w:tr>
    </w:tbl>
    <w:p w:rsidR="00000000" w:rsidRPr="0049120F" w:rsidP="0049120F">
      <w:pPr>
        <w:pStyle w:val="BodyText"/>
      </w:pP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4" w:name="O_951755"/>
      <w:bookmarkEnd w:id="4"/>
      <w:r w:rsidRPr="0049120F">
        <w:t>Competency Field</w:t>
      </w:r>
    </w:p>
    <w:p w:rsidR="00000000" w:rsidRPr="0049120F" w:rsidP="00101059">
      <w:pPr>
        <w:pStyle w:val="BodyText"/>
      </w:pPr>
      <w:r w:rsidRPr="0049120F">
        <w:t>Fixed and mobile plant</w:t>
      </w:r>
    </w:p>
    <w:p w:rsidR="00000000" w:rsidRPr="0049120F" w:rsidP="0049120F">
      <w:pPr>
        <w:pStyle w:val="Heading1"/>
      </w:pPr>
      <w:bookmarkStart w:id="5" w:name="O_951753"/>
      <w:bookmarkEnd w:id="5"/>
      <w:r w:rsidRPr="004912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Performance criteria describe the performance needed to demonstrate achievement of the element.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0F" w:rsidP="0049120F">
            <w:pPr>
              <w:pStyle w:val="BodyText"/>
            </w:pPr>
            <w:r w:rsidRPr="0049120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Follow standard operating procedures (SOPs)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Comply with work health and safety (WHS) requirements at all times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Use appropriate personal protective equipment (PPE) in accordance with SOPs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Identify job requirements from specifications, drawings, job sheets or work instructions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0F" w:rsidP="0049120F">
            <w:pPr>
              <w:pStyle w:val="BodyText"/>
            </w:pPr>
            <w:r w:rsidRPr="0049120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rPr>
                <w:rStyle w:val="SpecialBold"/>
              </w:rPr>
              <w:t>Assess track assembly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Apply operating principles and terminology of track type undercarriage in assessing track assembly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 xml:space="preserve">Inspect for wear or damage and determine if component requires repair or replacement 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Check track frame alignment and determine variances from specifications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0F" w:rsidP="0049120F">
            <w:pPr>
              <w:pStyle w:val="BodyText"/>
            </w:pPr>
            <w:r w:rsidRPr="0049120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rPr>
                <w:rStyle w:val="SpecialBold"/>
              </w:rPr>
              <w:t>Rectify and maintain track assemblies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Remove, repair or replace faulty track u</w:t>
            </w:r>
            <w:r w:rsidRPr="0049120F">
              <w:t xml:space="preserve">ndercarriage components 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Set track tension to specification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Adjust clearances to specification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0F" w:rsidP="0049120F">
            <w:pPr>
              <w:pStyle w:val="BodyText"/>
            </w:pPr>
            <w:r w:rsidRPr="0049120F">
              <w:t>Record all service/rectification activities</w:t>
            </w:r>
          </w:p>
        </w:tc>
      </w:tr>
    </w:tbl>
    <w:p w:rsidR="00000000" w:rsidRPr="0049120F" w:rsidP="0049120F">
      <w:pPr>
        <w:pStyle w:val="BodyText"/>
      </w:pP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6" w:name="O_951752"/>
      <w:bookmarkEnd w:id="6"/>
      <w:r w:rsidRPr="0049120F">
        <w:t>Foundation Skills</w:t>
      </w:r>
    </w:p>
    <w:p w:rsidR="00000000" w:rsidRPr="0049120F" w:rsidP="00101059">
      <w:pPr>
        <w:pStyle w:val="BodyText"/>
      </w:pPr>
      <w:r w:rsidRPr="0049120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9120F" w:rsidP="00101059">
      <w:pPr>
        <w:pStyle w:val="BodyText"/>
      </w:pPr>
      <w:r w:rsidRPr="0049120F">
        <w:t xml:space="preserve">Foundation skills essential to performance are explicit in the performance criteria </w:t>
      </w:r>
      <w:r w:rsidRPr="0049120F">
        <w:t>of this unit of competency.</w:t>
      </w:r>
    </w:p>
    <w:p w:rsidR="00000000" w:rsidRPr="0049120F" w:rsidP="0049120F">
      <w:pPr>
        <w:pStyle w:val="Heading1"/>
      </w:pPr>
      <w:bookmarkStart w:id="7" w:name="O_951751"/>
      <w:bookmarkEnd w:id="7"/>
      <w:r w:rsidRPr="0049120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t>This field allows for different work environments and conditions that may affect performance. Essential operating conditions that may be present (depending on the work situation, needs of the</w:t>
            </w:r>
            <w:r w:rsidRPr="0049120F">
              <w:t xml:space="preserve"> candidate, accessibility of the item, and local industry and regional contexts) are included.</w:t>
            </w:r>
          </w:p>
        </w:tc>
      </w:tr>
      <w:tr w:rsidTr="00491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0F">
            <w:pPr>
              <w:pStyle w:val="BodyText"/>
              <w:rPr>
                <w:lang w:val="en-NZ"/>
              </w:rPr>
            </w:pPr>
            <w:r w:rsidRPr="0049120F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0F" w:rsidP="0049120F">
            <w:pPr>
              <w:pStyle w:val="ListBullet"/>
            </w:pPr>
            <w:r w:rsidRPr="0049120F">
              <w:t>links</w:t>
            </w:r>
          </w:p>
          <w:p w:rsidR="00000000" w:rsidRPr="0049120F" w:rsidP="0049120F">
            <w:pPr>
              <w:pStyle w:val="ListBullet"/>
            </w:pPr>
            <w:r w:rsidRPr="0049120F">
              <w:t>pins</w:t>
            </w:r>
          </w:p>
          <w:p w:rsidR="00000000" w:rsidRPr="0049120F" w:rsidP="0049120F">
            <w:pPr>
              <w:pStyle w:val="ListBullet"/>
            </w:pPr>
            <w:r w:rsidRPr="0049120F">
              <w:t xml:space="preserve">sprockets </w:t>
            </w:r>
          </w:p>
          <w:p w:rsidR="00000000" w:rsidRPr="0049120F" w:rsidP="0049120F">
            <w:pPr>
              <w:pStyle w:val="ListBullet"/>
            </w:pPr>
            <w:r w:rsidRPr="0049120F">
              <w:t xml:space="preserve">idlers </w:t>
            </w:r>
          </w:p>
          <w:p w:rsidR="00000000" w:rsidRPr="0049120F" w:rsidP="0049120F">
            <w:pPr>
              <w:pStyle w:val="ListBullet"/>
            </w:pPr>
            <w:r w:rsidRPr="0049120F">
              <w:t xml:space="preserve">rollers and pads </w:t>
            </w:r>
          </w:p>
          <w:p w:rsidR="00000000" w:rsidRPr="0049120F" w:rsidP="0049120F">
            <w:pPr>
              <w:pStyle w:val="ListBullet"/>
            </w:pPr>
            <w:r w:rsidRPr="0049120F">
              <w:t>track chains</w:t>
            </w:r>
          </w:p>
          <w:p w:rsidR="00000000" w:rsidRPr="0049120F" w:rsidP="0049120F">
            <w:pPr>
              <w:pStyle w:val="ListBullet"/>
            </w:pPr>
            <w:r w:rsidRPr="0049120F">
              <w:t>tensioners</w:t>
            </w:r>
          </w:p>
          <w:p w:rsidR="00000000" w:rsidRPr="0049120F" w:rsidP="0049120F">
            <w:pPr>
              <w:pStyle w:val="ListBullet"/>
            </w:pPr>
            <w:r w:rsidRPr="0049120F">
              <w:t>sensors and monitoring module</w:t>
            </w:r>
          </w:p>
          <w:p w:rsidR="00000000" w:rsidRPr="0049120F" w:rsidP="0049120F">
            <w:pPr>
              <w:pStyle w:val="BodyText"/>
            </w:pPr>
          </w:p>
        </w:tc>
      </w:tr>
    </w:tbl>
    <w:p w:rsidR="00000000" w:rsidRPr="0049120F" w:rsidP="0049120F">
      <w:pPr>
        <w:pStyle w:val="BodyText"/>
      </w:pP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8" w:name="O_951750"/>
      <w:bookmarkEnd w:id="8"/>
      <w:r w:rsidRPr="0049120F">
        <w:t>Unit Mapping Information</w:t>
      </w:r>
    </w:p>
    <w:p w:rsidR="00000000" w:rsidRPr="0049120F" w:rsidP="00101059">
      <w:pPr>
        <w:pStyle w:val="BodyText"/>
      </w:pPr>
      <w:r w:rsidRPr="0049120F">
        <w:t xml:space="preserve">Release 1. Supersedes and is equivalent to MEM18039B Diagnose and rectify track type undercarriage </w:t>
      </w:r>
    </w:p>
    <w:p w:rsidR="00000000" w:rsidRPr="0049120F" w:rsidP="0049120F">
      <w:pPr>
        <w:pStyle w:val="Heading1"/>
      </w:pPr>
      <w:bookmarkStart w:id="9" w:name="O_951743"/>
      <w:bookmarkEnd w:id="9"/>
      <w:r w:rsidRPr="0049120F">
        <w:t>Links</w:t>
      </w:r>
    </w:p>
    <w:p w:rsidR="00000000" w:rsidRPr="0049120F" w:rsidP="00101059">
      <w:pPr>
        <w:pStyle w:val="BodyText"/>
      </w:pPr>
      <w:r w:rsidRPr="00491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39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120F" w:rsidP="00101059">
      <w:pPr>
        <w:pStyle w:val="BodyText"/>
        <w:sectPr w:rsidSect="004912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120F" w:rsidP="0049120F">
      <w:pPr>
        <w:pStyle w:val="SuperHeading"/>
      </w:pPr>
      <w:r w:rsidRPr="0049120F">
        <w:t>Assessment Requirements for MEM27011 Maintain track type undercarriage on mobile plant</w:t>
      </w:r>
    </w:p>
    <w:p w:rsidR="00000000" w:rsidRPr="0049120F" w:rsidP="0049120F">
      <w:pPr>
        <w:pStyle w:val="Heading1"/>
      </w:pPr>
      <w:bookmarkStart w:id="10" w:name="O_951745"/>
      <w:bookmarkEnd w:id="10"/>
      <w:r w:rsidRPr="0049120F">
        <w:t>Modification History</w:t>
      </w:r>
    </w:p>
    <w:p w:rsidR="00000000" w:rsidRPr="0049120F" w:rsidP="00101059">
      <w:pPr>
        <w:pStyle w:val="BodyText"/>
      </w:pPr>
      <w:r w:rsidRPr="0049120F">
        <w:t>Release 1. Supersedes and is e</w:t>
      </w:r>
      <w:r w:rsidRPr="0049120F">
        <w:t xml:space="preserve">quivalent to MEM18039B Diagnose and rectify track type undercarriage </w:t>
      </w:r>
    </w:p>
    <w:p w:rsidR="00000000" w:rsidRPr="0049120F" w:rsidP="0049120F">
      <w:pPr>
        <w:pStyle w:val="Heading1"/>
      </w:pPr>
      <w:bookmarkStart w:id="11" w:name="O_951748"/>
      <w:bookmarkEnd w:id="11"/>
      <w:r w:rsidRPr="0049120F">
        <w:t>Performance Evidence</w:t>
      </w:r>
    </w:p>
    <w:p w:rsidR="00000000" w:rsidRPr="0049120F" w:rsidP="00101059">
      <w:pPr>
        <w:pStyle w:val="BodyText"/>
      </w:pPr>
      <w:r w:rsidRPr="0049120F">
        <w:t>Evidence required to demonstrate competence in this unit must be relevant to and satisfy the requirements of the elements and performance criteria on at least two (2) occasions and include:</w:t>
      </w:r>
    </w:p>
    <w:p w:rsidR="00000000" w:rsidRPr="0049120F" w:rsidP="0049120F">
      <w:pPr>
        <w:pStyle w:val="ListBullet"/>
      </w:pPr>
      <w:r w:rsidRPr="0049120F">
        <w:t>following work instructions, standard operating procedures (SOPs)</w:t>
      </w:r>
      <w:r w:rsidRPr="0049120F">
        <w:t xml:space="preserve"> and safe work practices </w:t>
      </w:r>
    </w:p>
    <w:p w:rsidR="00000000" w:rsidRPr="0049120F" w:rsidP="0049120F">
      <w:pPr>
        <w:pStyle w:val="ListBullet"/>
      </w:pPr>
      <w:r w:rsidRPr="0049120F">
        <w:t>identifying and interpreting specifications, charts, lists, drawings and other applicable reference documents to diagnose and rectify track type undercarriage</w:t>
      </w:r>
    </w:p>
    <w:p w:rsidR="00000000" w:rsidRPr="0049120F" w:rsidP="0049120F">
      <w:pPr>
        <w:pStyle w:val="ListBullet"/>
      </w:pPr>
      <w:r w:rsidRPr="0049120F">
        <w:t>checking track type undercarriage for compliance with specifications</w:t>
      </w:r>
    </w:p>
    <w:p w:rsidR="00000000" w:rsidRPr="0049120F" w:rsidP="0049120F">
      <w:pPr>
        <w:pStyle w:val="ListBullet"/>
      </w:pPr>
      <w:r w:rsidRPr="0049120F">
        <w:t xml:space="preserve">identifying components present in the track type undercarriage system </w:t>
      </w:r>
    </w:p>
    <w:p w:rsidR="00000000" w:rsidRPr="0049120F" w:rsidP="0049120F">
      <w:pPr>
        <w:pStyle w:val="ListBullet"/>
      </w:pPr>
      <w:r w:rsidRPr="0049120F">
        <w:t>inspecting track type undercarriage components for wear and damage and identifying worn or damaged parts for repair or replacement using appropriate tools, equipment and techniques</w:t>
      </w:r>
    </w:p>
    <w:p w:rsidR="00000000" w:rsidRPr="0049120F" w:rsidP="0049120F">
      <w:pPr>
        <w:pStyle w:val="ListBullet"/>
      </w:pPr>
      <w:r w:rsidRPr="0049120F">
        <w:t>unde</w:t>
      </w:r>
      <w:r w:rsidRPr="0049120F">
        <w:t>rtaking calculations and numerical operations associated with diagnosing and rectifying track type undercarriage</w:t>
      </w:r>
    </w:p>
    <w:p w:rsidR="00000000" w:rsidRPr="0049120F" w:rsidP="0049120F">
      <w:pPr>
        <w:pStyle w:val="ListBullet"/>
      </w:pPr>
      <w:r w:rsidRPr="0049120F">
        <w:t xml:space="preserve">checking the track frame for alignment and identifying variations from alignment specifications </w:t>
      </w:r>
    </w:p>
    <w:p w:rsidR="00000000" w:rsidRPr="0049120F" w:rsidP="0049120F">
      <w:pPr>
        <w:pStyle w:val="ListBullet"/>
      </w:pPr>
      <w:r w:rsidRPr="0049120F">
        <w:t>removing and replacing track undercarriage com</w:t>
      </w:r>
      <w:r w:rsidRPr="0049120F">
        <w:t>ponents using appropriate tools, equipment and techniques</w:t>
      </w:r>
    </w:p>
    <w:p w:rsidR="00000000" w:rsidRPr="0049120F" w:rsidP="0049120F">
      <w:pPr>
        <w:pStyle w:val="ListBullet"/>
      </w:pPr>
      <w:r w:rsidRPr="0049120F">
        <w:t xml:space="preserve">setting track tension and adjusting clearances to specifications </w:t>
      </w:r>
    </w:p>
    <w:p w:rsidR="00000000" w:rsidRPr="0049120F" w:rsidP="0049120F">
      <w:pPr>
        <w:pStyle w:val="ListBullet"/>
      </w:pPr>
      <w:r w:rsidRPr="0049120F">
        <w:t>recording/reporting all service/work activities in accordance with SOPs.</w:t>
      </w: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12" w:name="O_951747"/>
      <w:bookmarkEnd w:id="12"/>
      <w:r w:rsidRPr="0049120F">
        <w:t>Knowledge Evidence</w:t>
      </w:r>
    </w:p>
    <w:p w:rsidR="00000000" w:rsidRPr="0049120F" w:rsidP="00101059">
      <w:pPr>
        <w:pStyle w:val="BodyText"/>
      </w:pPr>
      <w:r w:rsidRPr="0049120F">
        <w:t>Evidence required to de</w:t>
      </w:r>
      <w:r w:rsidRPr="0049120F">
        <w:t>monstrate the required knowledge for this unit must be relevant to and satisfy the requirements of the elements and performance criteria and include knowledge of:</w:t>
      </w:r>
    </w:p>
    <w:p w:rsidR="00000000" w:rsidRPr="0049120F" w:rsidP="0049120F">
      <w:pPr>
        <w:pStyle w:val="ListBullet"/>
      </w:pPr>
      <w:r w:rsidRPr="0049120F">
        <w:t>safe work practices and procedures and use of personal protective equipment (PPE)</w:t>
      </w:r>
    </w:p>
    <w:p w:rsidR="00000000" w:rsidRPr="0049120F" w:rsidP="0049120F">
      <w:pPr>
        <w:pStyle w:val="ListBullet"/>
      </w:pPr>
      <w:r w:rsidRPr="0049120F">
        <w:t xml:space="preserve">operating </w:t>
      </w:r>
      <w:r w:rsidRPr="0049120F">
        <w:t xml:space="preserve">principles of track type undercarriage </w:t>
      </w:r>
    </w:p>
    <w:p w:rsidR="00000000" w:rsidRPr="0049120F" w:rsidP="0049120F">
      <w:pPr>
        <w:pStyle w:val="ListBullet"/>
      </w:pPr>
      <w:r w:rsidRPr="0049120F">
        <w:t>procedures for:</w:t>
      </w:r>
    </w:p>
    <w:p w:rsidR="00000000" w:rsidRPr="0049120F" w:rsidP="0049120F">
      <w:pPr>
        <w:pStyle w:val="ListBullet2"/>
      </w:pPr>
      <w:r w:rsidRPr="0049120F">
        <w:t>checking track type undercarriage components for wear and tools, techniques and equipment</w:t>
      </w:r>
    </w:p>
    <w:p w:rsidR="00000000" w:rsidRPr="0049120F" w:rsidP="0049120F">
      <w:pPr>
        <w:pStyle w:val="ListBullet2"/>
      </w:pPr>
      <w:r w:rsidRPr="0049120F">
        <w:t>aligning track frames and tools, techniques and equipment</w:t>
      </w:r>
    </w:p>
    <w:p w:rsidR="00000000" w:rsidRPr="0049120F" w:rsidP="0049120F">
      <w:pPr>
        <w:pStyle w:val="ListBullet2"/>
      </w:pPr>
      <w:r w:rsidRPr="0049120F">
        <w:t>removing and replacing track type undercarriage components and precautions to be taken</w:t>
      </w:r>
    </w:p>
    <w:p w:rsidR="00000000" w:rsidRPr="0049120F" w:rsidP="0049120F">
      <w:pPr>
        <w:pStyle w:val="ListBullet2"/>
      </w:pPr>
      <w:r w:rsidRPr="0049120F">
        <w:t>setting track tension and adjusting clearances setting track tension and adjusting clearances</w:t>
      </w:r>
    </w:p>
    <w:p w:rsidR="00000000" w:rsidRPr="0049120F" w:rsidP="0049120F">
      <w:pPr>
        <w:pStyle w:val="ListBullet"/>
      </w:pPr>
      <w:r w:rsidRPr="0049120F">
        <w:t xml:space="preserve">reasons for selecting the chosen tools, techniques and equipment </w:t>
      </w:r>
    </w:p>
    <w:p w:rsidR="00000000" w:rsidRPr="0049120F" w:rsidP="0049120F">
      <w:pPr>
        <w:pStyle w:val="ListBullet"/>
      </w:pPr>
      <w:r w:rsidRPr="0049120F">
        <w:t>specific</w:t>
      </w:r>
      <w:r w:rsidRPr="0049120F">
        <w:t xml:space="preserve">ations of the track type undercarriage components </w:t>
      </w:r>
    </w:p>
    <w:p w:rsidR="00000000" w:rsidRPr="0049120F" w:rsidP="0049120F">
      <w:pPr>
        <w:pStyle w:val="ListBullet"/>
      </w:pPr>
      <w:r w:rsidRPr="0049120F">
        <w:t>action to be taken to overcome the wear and/or damage detected.</w:t>
      </w: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13" w:name="O_951746"/>
      <w:bookmarkEnd w:id="13"/>
      <w:r w:rsidRPr="0049120F">
        <w:t>Assessment Conditions</w:t>
      </w:r>
    </w:p>
    <w:p w:rsidR="00000000" w:rsidRPr="0049120F" w:rsidP="0049120F">
      <w:pPr>
        <w:pStyle w:val="ListBullet"/>
      </w:pPr>
      <w:r w:rsidRPr="0049120F">
        <w:t>Assessors must:</w:t>
      </w:r>
    </w:p>
    <w:p w:rsidR="00000000" w:rsidRPr="0049120F" w:rsidP="0049120F">
      <w:pPr>
        <w:pStyle w:val="ListBullet2"/>
      </w:pPr>
      <w:r w:rsidRPr="0049120F">
        <w:t>have vocational competency in maintaining track type undercarriage on mobile plant a</w:t>
      </w:r>
      <w:r w:rsidRPr="0049120F">
        <w:t>t least to the level being assessed with relevant industry knowledge and experience</w:t>
      </w:r>
    </w:p>
    <w:p w:rsidR="00000000" w:rsidRPr="0049120F" w:rsidP="0049120F">
      <w:pPr>
        <w:pStyle w:val="ListBullet2"/>
      </w:pPr>
      <w:r w:rsidRPr="0049120F">
        <w:t xml:space="preserve">satisfy the assessor requirements in the </w:t>
      </w:r>
      <w:r w:rsidRPr="0049120F">
        <w:rPr>
          <w:rStyle w:val="Emphasis"/>
        </w:rPr>
        <w:t xml:space="preserve">Standards for Registered Training Organisations 2015 </w:t>
      </w:r>
      <w:r w:rsidRPr="0049120F">
        <w:t>or its replacement</w:t>
      </w:r>
      <w:r w:rsidRPr="0049120F">
        <w:rPr>
          <w:rStyle w:val="Emphasis"/>
        </w:rPr>
        <w:t xml:space="preserve"> </w:t>
      </w:r>
      <w:r w:rsidRPr="0049120F">
        <w:t xml:space="preserve">and comply with the </w:t>
      </w:r>
      <w:r w:rsidRPr="0049120F">
        <w:rPr>
          <w:rStyle w:val="Emphasis"/>
        </w:rPr>
        <w:t>National Vocational Education and Train</w:t>
      </w:r>
      <w:r w:rsidRPr="0049120F">
        <w:rPr>
          <w:rStyle w:val="Emphasis"/>
        </w:rPr>
        <w:t xml:space="preserve">ing Regulator Act 2011, </w:t>
      </w:r>
      <w:r w:rsidRPr="0049120F">
        <w:t>its replacement</w:t>
      </w:r>
      <w:r w:rsidRPr="0049120F">
        <w:rPr>
          <w:rStyle w:val="Emphasis"/>
        </w:rPr>
        <w:t xml:space="preserve"> </w:t>
      </w:r>
      <w:r w:rsidRPr="0049120F">
        <w:t>or equivalent legislation covering VET regulation in a non-referring state/territory as the case requires</w:t>
      </w:r>
    </w:p>
    <w:p w:rsidR="00000000" w:rsidRPr="0049120F" w:rsidP="0049120F">
      <w:pPr>
        <w:pStyle w:val="ListBullet"/>
      </w:pPr>
      <w:r w:rsidRPr="0049120F">
        <w:t>Where possible assessment must occur in operational workplace situations. Where this is not possible or where</w:t>
      </w:r>
      <w:r w:rsidRPr="0049120F">
        <w:t xml:space="preserve"> personal safety or environmental damage are limiting factors, assessment must occur in a sufficiently rigorous simulated environment that reflects realistic operational workplace conditions. This must cover all aspects of workplace performance, including </w:t>
      </w:r>
      <w:r w:rsidRPr="0049120F">
        <w:t>environment, task skills, task management skills, contingency management skills and job role environment skills</w:t>
      </w:r>
    </w:p>
    <w:p w:rsidR="00000000" w:rsidRPr="0049120F" w:rsidP="0049120F">
      <w:pPr>
        <w:pStyle w:val="ListBullet"/>
      </w:pPr>
      <w:r w:rsidRPr="0049120F">
        <w:t>Conditions for assessment must include access to all tools, equipment, materials and documentation required, including relevant workplace proced</w:t>
      </w:r>
      <w:r w:rsidRPr="0049120F">
        <w:t>ures, product and manufacturing specifications</w:t>
      </w:r>
    </w:p>
    <w:p w:rsidR="00000000" w:rsidRPr="0049120F" w:rsidP="0049120F">
      <w:pPr>
        <w:pStyle w:val="ListBullet"/>
      </w:pPr>
      <w:r w:rsidRPr="0049120F">
        <w:t>Assessment processes and techniques must be appropriate to the language, literacy and numeracy requirements of the work being performed and the needs of the candidate.</w:t>
      </w:r>
    </w:p>
    <w:p w:rsidR="00000000" w:rsidRPr="0049120F" w:rsidP="0049120F">
      <w:pPr>
        <w:pStyle w:val="AllowPageBreak"/>
      </w:pPr>
    </w:p>
    <w:p w:rsidR="00000000" w:rsidRPr="0049120F" w:rsidP="0049120F">
      <w:pPr>
        <w:pStyle w:val="Heading1"/>
      </w:pPr>
      <w:bookmarkStart w:id="14" w:name="O_951744"/>
      <w:bookmarkEnd w:id="14"/>
      <w:r w:rsidRPr="0049120F">
        <w:t>Links</w:t>
      </w:r>
    </w:p>
    <w:p w:rsidR="00000000" w:rsidRPr="0049120F" w:rsidP="00101059">
      <w:pPr>
        <w:pStyle w:val="BodyText"/>
      </w:pPr>
      <w:r w:rsidRPr="00491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39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120F" w:rsidP="0049120F"/>
    <w:sectPr w:rsidSect="004912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 w:rsidRPr="00101059" w:rsidP="00101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59" w:rsidP="00491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059" w:rsidP="00491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01059" w:rsidP="004912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 w:rsidP="00491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1059">
      <w:t>Approved</w:t>
    </w:r>
    <w:r w:rsidR="001010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10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1059">
      <w:rPr>
        <w:noProof/>
      </w:rPr>
      <w:t>4</w:t>
    </w:r>
    <w:r>
      <w:rPr>
        <w:noProof/>
      </w:rPr>
      <w:fldChar w:fldCharType="end"/>
    </w:r>
  </w:p>
  <w:p w:rsidR="0049120F" w:rsidP="00491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10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1059">
      <w:t>Manufacturing Industry Skills Alliance</w:t>
    </w:r>
    <w:r w:rsidR="00101059">
      <w:fldChar w:fldCharType="end"/>
    </w:r>
  </w:p>
  <w:p w:rsidR="0049120F" w:rsidP="00491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20F" w:rsidRPr="00101059" w:rsidP="00101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59" w:rsidRPr="002D2AF8" w:rsidP="00491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MEM27011 Maintain track type undercarriage on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1059" w:rsidP="004912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0F" w:rsidRPr="002D2AF8" w:rsidP="00491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1059">
      <w:t>MEM27011 Maintain track type undercarriage on mobile plant</w:t>
    </w:r>
    <w:r w:rsidR="001010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1059">
      <w:rPr>
        <w:noProof/>
      </w:rPr>
      <w:t>2 March 2025</w:t>
    </w:r>
    <w:r>
      <w:fldChar w:fldCharType="end"/>
    </w:r>
  </w:p>
  <w:p w:rsidR="0049120F" w:rsidP="00491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1C3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8E5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C60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20F"/>
  </w:style>
  <w:style w:type="character" w:customStyle="1" w:styleId="Heading1Char">
    <w:name w:val="Heading 1 Char"/>
    <w:basedOn w:val="DefaultParagraphFont"/>
    <w:link w:val="Heading1"/>
    <w:rsid w:val="00491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20F"/>
    <w:rPr>
      <w:b/>
      <w:spacing w:val="0"/>
    </w:rPr>
  </w:style>
  <w:style w:type="paragraph" w:styleId="ListBullet2">
    <w:name w:val="List Bullet 2"/>
    <w:basedOn w:val="List2"/>
    <w:rsid w:val="004912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120F"/>
    <w:rPr>
      <w:i/>
    </w:rPr>
  </w:style>
  <w:style w:type="paragraph" w:customStyle="1" w:styleId="SuperHeading">
    <w:name w:val="SuperHeading"/>
    <w:basedOn w:val="Normal"/>
    <w:rsid w:val="00491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20F"/>
  </w:style>
  <w:style w:type="paragraph" w:styleId="TableofFigures">
    <w:name w:val="table of figures"/>
    <w:basedOn w:val="Normal"/>
    <w:next w:val="Normal"/>
    <w:semiHidden/>
    <w:rsid w:val="00491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20F"/>
    <w:rPr>
      <w:rFonts w:ascii="Wingdings" w:hAnsi="Wingdings"/>
    </w:rPr>
  </w:style>
  <w:style w:type="paragraph" w:customStyle="1" w:styleId="TableHeading">
    <w:name w:val="Table Heading"/>
    <w:basedOn w:val="HeadingBase"/>
    <w:rsid w:val="00491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20F"/>
    <w:rPr>
      <w:color w:val="0033CC"/>
      <w:u w:val="none"/>
    </w:rPr>
  </w:style>
  <w:style w:type="paragraph" w:customStyle="1" w:styleId="BodyTextRight">
    <w:name w:val="Body Text Right"/>
    <w:basedOn w:val="BodyText"/>
    <w:rsid w:val="00491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20F"/>
    <w:rPr>
      <w:sz w:val="32"/>
    </w:rPr>
  </w:style>
  <w:style w:type="paragraph" w:customStyle="1" w:styleId="HeadingProcedure">
    <w:name w:val="Heading Procedure"/>
    <w:basedOn w:val="HeadingBase"/>
    <w:next w:val="Normal"/>
    <w:rsid w:val="00491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20F"/>
    <w:pPr>
      <w:spacing w:before="60" w:after="60"/>
    </w:pPr>
  </w:style>
  <w:style w:type="paragraph" w:styleId="ListContinue">
    <w:name w:val="List Continue"/>
    <w:basedOn w:val="List"/>
    <w:rsid w:val="0049120F"/>
    <w:pPr>
      <w:ind w:firstLine="0"/>
    </w:pPr>
  </w:style>
  <w:style w:type="paragraph" w:customStyle="1" w:styleId="ListNote">
    <w:name w:val="List Note"/>
    <w:basedOn w:val="List"/>
    <w:rsid w:val="00491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20F"/>
    <w:rPr>
      <w:rFonts w:ascii="Courier New" w:hAnsi="Courier New"/>
    </w:rPr>
  </w:style>
  <w:style w:type="paragraph" w:customStyle="1" w:styleId="NoteBullet">
    <w:name w:val="Note Bullet"/>
    <w:basedOn w:val="Note"/>
    <w:rsid w:val="00491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20F"/>
    <w:rPr>
      <w:b/>
      <w:smallCaps/>
    </w:rPr>
  </w:style>
  <w:style w:type="paragraph" w:customStyle="1" w:styleId="TableListNumber">
    <w:name w:val="Table List Number"/>
    <w:basedOn w:val="ListNumber"/>
    <w:rsid w:val="00491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20F"/>
    <w:pPr>
      <w:numPr>
        <w:numId w:val="9"/>
      </w:numPr>
    </w:pPr>
  </w:style>
  <w:style w:type="paragraph" w:customStyle="1" w:styleId="ListAlpha2">
    <w:name w:val="List Alpha 2"/>
    <w:basedOn w:val="List2"/>
    <w:rsid w:val="0049120F"/>
    <w:pPr>
      <w:numPr>
        <w:numId w:val="8"/>
      </w:numPr>
    </w:pPr>
  </w:style>
  <w:style w:type="paragraph" w:styleId="List2">
    <w:name w:val="List 2"/>
    <w:basedOn w:val="BodyText"/>
    <w:rsid w:val="00491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20F"/>
    <w:pPr>
      <w:numPr>
        <w:numId w:val="4"/>
      </w:numPr>
    </w:pPr>
  </w:style>
  <w:style w:type="paragraph" w:styleId="ListContinue2">
    <w:name w:val="List Continue 2"/>
    <w:basedOn w:val="List2"/>
    <w:rsid w:val="0049120F"/>
    <w:pPr>
      <w:ind w:firstLine="0"/>
    </w:pPr>
  </w:style>
  <w:style w:type="paragraph" w:styleId="ListContinue3">
    <w:name w:val="List Continue 3"/>
    <w:basedOn w:val="List3"/>
    <w:rsid w:val="0049120F"/>
    <w:pPr>
      <w:ind w:left="1021" w:firstLine="0"/>
    </w:pPr>
  </w:style>
  <w:style w:type="paragraph" w:styleId="ListContinue4">
    <w:name w:val="List Continue 4"/>
    <w:basedOn w:val="List4"/>
    <w:rsid w:val="0049120F"/>
    <w:pPr>
      <w:ind w:firstLine="0"/>
    </w:pPr>
  </w:style>
  <w:style w:type="paragraph" w:styleId="ListContinue5">
    <w:name w:val="List Continue 5"/>
    <w:basedOn w:val="List5"/>
    <w:rsid w:val="0049120F"/>
    <w:pPr>
      <w:ind w:firstLine="0"/>
    </w:pPr>
  </w:style>
  <w:style w:type="paragraph" w:styleId="ListNumber3">
    <w:name w:val="List Number 3"/>
    <w:basedOn w:val="List3"/>
    <w:rsid w:val="0049120F"/>
    <w:pPr>
      <w:numPr>
        <w:numId w:val="5"/>
      </w:numPr>
    </w:pPr>
  </w:style>
  <w:style w:type="paragraph" w:styleId="ListNumber4">
    <w:name w:val="List Number 4"/>
    <w:basedOn w:val="List4"/>
    <w:rsid w:val="0049120F"/>
    <w:pPr>
      <w:numPr>
        <w:numId w:val="6"/>
      </w:numPr>
    </w:pPr>
  </w:style>
  <w:style w:type="paragraph" w:styleId="ListNumber5">
    <w:name w:val="List Number 5"/>
    <w:basedOn w:val="List5"/>
    <w:rsid w:val="0049120F"/>
    <w:pPr>
      <w:numPr>
        <w:numId w:val="7"/>
      </w:numPr>
    </w:pPr>
  </w:style>
  <w:style w:type="paragraph" w:styleId="BlockText">
    <w:name w:val="Block Text"/>
    <w:basedOn w:val="Normal"/>
    <w:rsid w:val="00491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20F"/>
    <w:rPr>
      <w:sz w:val="16"/>
      <w:vertAlign w:val="superscript"/>
    </w:rPr>
  </w:style>
  <w:style w:type="character" w:customStyle="1" w:styleId="Symbols">
    <w:name w:val="Symbols"/>
    <w:basedOn w:val="DefaultParagraphFont"/>
    <w:rsid w:val="0049120F"/>
    <w:rPr>
      <w:rFonts w:ascii="Symbol" w:hAnsi="Symbol"/>
    </w:rPr>
  </w:style>
  <w:style w:type="character" w:customStyle="1" w:styleId="MenuOptions">
    <w:name w:val="Menu Options"/>
    <w:basedOn w:val="DefaultParagraphFont"/>
    <w:rsid w:val="00491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20F"/>
    <w:rPr>
      <w:b/>
    </w:rPr>
  </w:style>
  <w:style w:type="character" w:customStyle="1" w:styleId="Underlined">
    <w:name w:val="Underlined"/>
    <w:basedOn w:val="DefaultParagraphFont"/>
    <w:rsid w:val="0049120F"/>
    <w:rPr>
      <w:u w:val="single"/>
    </w:rPr>
  </w:style>
  <w:style w:type="paragraph" w:customStyle="1" w:styleId="TableBodyTextRight">
    <w:name w:val="Table Body Text Right"/>
    <w:basedOn w:val="TableBodyText"/>
    <w:rsid w:val="00491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20F"/>
    <w:rPr>
      <w:sz w:val="18"/>
    </w:rPr>
  </w:style>
  <w:style w:type="paragraph" w:customStyle="1" w:styleId="BodySmallRight">
    <w:name w:val="Body Small Right"/>
    <w:basedOn w:val="BodyTextRight"/>
    <w:rsid w:val="0049120F"/>
    <w:rPr>
      <w:sz w:val="18"/>
      <w:szCs w:val="18"/>
    </w:rPr>
  </w:style>
  <w:style w:type="paragraph" w:customStyle="1" w:styleId="MarginEdition">
    <w:name w:val="Margin Edition"/>
    <w:basedOn w:val="MarginNote"/>
    <w:rsid w:val="00491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20F"/>
    <w:rPr>
      <w:sz w:val="2"/>
      <w:szCs w:val="2"/>
    </w:rPr>
  </w:style>
  <w:style w:type="character" w:customStyle="1" w:styleId="Small">
    <w:name w:val="Small"/>
    <w:basedOn w:val="DefaultParagraphFont"/>
    <w:rsid w:val="0049120F"/>
    <w:rPr>
      <w:sz w:val="16"/>
    </w:rPr>
  </w:style>
  <w:style w:type="paragraph" w:customStyle="1" w:styleId="WideTable">
    <w:name w:val="Wide Table"/>
    <w:basedOn w:val="Normal"/>
    <w:rsid w:val="00491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20F"/>
  </w:style>
  <w:style w:type="paragraph" w:styleId="Quote">
    <w:name w:val="Quote"/>
    <w:basedOn w:val="Heading1"/>
    <w:link w:val="QuoteChar"/>
    <w:qFormat/>
    <w:rsid w:val="00491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20F"/>
    <w:pPr>
      <w:pageBreakBefore/>
    </w:pPr>
  </w:style>
  <w:style w:type="paragraph" w:customStyle="1" w:styleId="Border">
    <w:name w:val="Border"/>
    <w:basedOn w:val="Normal"/>
    <w:qFormat/>
    <w:rsid w:val="00491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20F"/>
    <w:rPr>
      <w:u w:val="single"/>
    </w:rPr>
  </w:style>
  <w:style w:type="character" w:customStyle="1" w:styleId="BoldandItalics">
    <w:name w:val="Bold and Italics"/>
    <w:qFormat/>
    <w:rsid w:val="0049120F"/>
    <w:rPr>
      <w:b/>
      <w:i/>
      <w:u w:val="none"/>
    </w:rPr>
  </w:style>
  <w:style w:type="paragraph" w:styleId="BalloonText">
    <w:name w:val="Balloon Text"/>
    <w:basedOn w:val="Normal"/>
    <w:link w:val="BalloonTextChar"/>
    <w:rsid w:val="00491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20F"/>
    <w:pPr>
      <w:spacing w:before="0" w:after="0"/>
    </w:pPr>
  </w:style>
  <w:style w:type="paragraph" w:customStyle="1" w:styleId="BodyTextBold">
    <w:name w:val="Body Text Bold"/>
    <w:basedOn w:val="BodyText"/>
    <w:qFormat/>
    <w:rsid w:val="0049120F"/>
    <w:rPr>
      <w:b/>
    </w:rPr>
  </w:style>
  <w:style w:type="character" w:styleId="Hyperlink">
    <w:name w:val="Hyperlink"/>
    <w:basedOn w:val="DefaultParagraphFont"/>
    <w:uiPriority w:val="99"/>
    <w:unhideWhenUsed/>
    <w:rsid w:val="00101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6335</Characters>
  <Application>Microsoft Office Word</Application>
  <DocSecurity>0</DocSecurity>
  <Lines>226</Lines>
  <Paragraphs>137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MEM27011 Maintain track type undercarriage on mobile plant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