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760" w:rsidP="00414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MEM27011 Maintain track type undercarriage on mobile plant</w:t>
      </w:r>
      <w:r>
        <w:fldChar w:fldCharType="end"/>
      </w:r>
    </w:p>
    <w:p w:rsidR="00414760" w:rsidP="00414760">
      <w:pPr>
        <w:pStyle w:val="Version"/>
        <w:sectPr w:rsidSect="00036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D6E" w:rsidP="00036D6E">
      <w:pPr>
        <w:pStyle w:val="SuperHeading"/>
      </w:pPr>
      <w:r w:rsidRPr="00036D6E">
        <w:t>Assessment Requirements for MEM27011 Maintain track type undercarriage on mobile plant</w:t>
      </w:r>
    </w:p>
    <w:p w:rsidR="00000000" w:rsidRPr="00036D6E" w:rsidP="00036D6E">
      <w:pPr>
        <w:pStyle w:val="Heading1"/>
      </w:pPr>
      <w:bookmarkStart w:id="1" w:name="O_951745"/>
      <w:bookmarkEnd w:id="1"/>
      <w:r w:rsidRPr="00036D6E">
        <w:t>Modification History</w:t>
      </w:r>
    </w:p>
    <w:p w:rsidR="00000000" w:rsidRPr="00036D6E" w:rsidP="00414760">
      <w:pPr>
        <w:pStyle w:val="BodyText"/>
      </w:pPr>
      <w:r w:rsidRPr="00036D6E">
        <w:t xml:space="preserve">Release 1. Supersedes and is equivalent to MEM18039B Diagnose and rectify track type undercarriage </w:t>
      </w:r>
    </w:p>
    <w:p w:rsidR="00000000" w:rsidRPr="00036D6E" w:rsidP="00036D6E">
      <w:pPr>
        <w:pStyle w:val="Heading1"/>
      </w:pPr>
      <w:bookmarkStart w:id="2" w:name="O_951748"/>
      <w:bookmarkEnd w:id="2"/>
      <w:r w:rsidRPr="00036D6E">
        <w:t>Performance Evidence</w:t>
      </w:r>
    </w:p>
    <w:p w:rsidR="00000000" w:rsidRPr="00036D6E" w:rsidP="00414760">
      <w:pPr>
        <w:pStyle w:val="BodyText"/>
      </w:pPr>
      <w:r w:rsidRPr="00036D6E">
        <w:t>Evidence required to demonstrate competence in this unit must be relevant to and satisfy the requirements of the elements and performance criteria on at least two (2) occasions and include:</w:t>
      </w:r>
    </w:p>
    <w:p w:rsidR="00000000" w:rsidRPr="00036D6E" w:rsidP="00036D6E">
      <w:pPr>
        <w:pStyle w:val="ListBullet"/>
      </w:pPr>
      <w:r w:rsidRPr="00036D6E">
        <w:t>following work instructions, standard operat</w:t>
      </w:r>
      <w:r w:rsidRPr="00036D6E">
        <w:t xml:space="preserve">ing procedures (SOPs) and safe work practices </w:t>
      </w:r>
    </w:p>
    <w:p w:rsidR="00000000" w:rsidRPr="00036D6E" w:rsidP="00036D6E">
      <w:pPr>
        <w:pStyle w:val="ListBullet"/>
      </w:pPr>
      <w:r w:rsidRPr="00036D6E">
        <w:t>identifying and interpreting specifications, charts, lists, drawings and other applicable reference documents to diagnose and rectify track type undercarriage</w:t>
      </w:r>
    </w:p>
    <w:p w:rsidR="00000000" w:rsidRPr="00036D6E" w:rsidP="00036D6E">
      <w:pPr>
        <w:pStyle w:val="ListBullet"/>
      </w:pPr>
      <w:r w:rsidRPr="00036D6E">
        <w:t>checking track type undercarriage for compliance w</w:t>
      </w:r>
      <w:r w:rsidRPr="00036D6E">
        <w:t>ith specifications</w:t>
      </w:r>
    </w:p>
    <w:p w:rsidR="00000000" w:rsidRPr="00036D6E" w:rsidP="00036D6E">
      <w:pPr>
        <w:pStyle w:val="ListBullet"/>
      </w:pPr>
      <w:r w:rsidRPr="00036D6E">
        <w:t xml:space="preserve">identifying components present in the track type undercarriage system </w:t>
      </w:r>
    </w:p>
    <w:p w:rsidR="00000000" w:rsidRPr="00036D6E" w:rsidP="00036D6E">
      <w:pPr>
        <w:pStyle w:val="ListBullet"/>
      </w:pPr>
      <w:r w:rsidRPr="00036D6E">
        <w:t xml:space="preserve">inspecting track type undercarriage components for wear and damage and identifying worn or damaged parts for repair or replacement using appropriate tools, equipment </w:t>
      </w:r>
      <w:r w:rsidRPr="00036D6E">
        <w:t>and techniques</w:t>
      </w:r>
    </w:p>
    <w:p w:rsidR="00000000" w:rsidRPr="00036D6E" w:rsidP="00036D6E">
      <w:pPr>
        <w:pStyle w:val="ListBullet"/>
      </w:pPr>
      <w:r w:rsidRPr="00036D6E">
        <w:t>undertaking calculations and numerical operations associated with diagnosing and rectifying track type undercarriage</w:t>
      </w:r>
    </w:p>
    <w:p w:rsidR="00000000" w:rsidRPr="00036D6E" w:rsidP="00036D6E">
      <w:pPr>
        <w:pStyle w:val="ListBullet"/>
      </w:pPr>
      <w:r w:rsidRPr="00036D6E">
        <w:t xml:space="preserve">checking the track frame for alignment and identifying variations from alignment specifications </w:t>
      </w:r>
    </w:p>
    <w:p w:rsidR="00000000" w:rsidRPr="00036D6E" w:rsidP="00036D6E">
      <w:pPr>
        <w:pStyle w:val="ListBullet"/>
      </w:pPr>
      <w:r w:rsidRPr="00036D6E">
        <w:t>removing and replacing trac</w:t>
      </w:r>
      <w:r w:rsidRPr="00036D6E">
        <w:t>k undercarriage components using appropriate tools, equipment and techniques</w:t>
      </w:r>
    </w:p>
    <w:p w:rsidR="00000000" w:rsidRPr="00036D6E" w:rsidP="00036D6E">
      <w:pPr>
        <w:pStyle w:val="ListBullet"/>
      </w:pPr>
      <w:r w:rsidRPr="00036D6E">
        <w:t xml:space="preserve">setting track tension and adjusting clearances to specifications </w:t>
      </w:r>
    </w:p>
    <w:p w:rsidR="00000000" w:rsidRPr="00036D6E" w:rsidP="00036D6E">
      <w:pPr>
        <w:pStyle w:val="ListBullet"/>
      </w:pPr>
      <w:r w:rsidRPr="00036D6E">
        <w:t>recording/reporting all service/work activities in accordance with SOPs.</w:t>
      </w:r>
    </w:p>
    <w:p w:rsidR="00000000" w:rsidRPr="00036D6E" w:rsidP="00036D6E">
      <w:pPr>
        <w:pStyle w:val="AllowPageBreak"/>
      </w:pPr>
    </w:p>
    <w:p w:rsidR="00000000" w:rsidRPr="00036D6E" w:rsidP="00036D6E">
      <w:pPr>
        <w:pStyle w:val="Heading1"/>
      </w:pPr>
      <w:bookmarkStart w:id="3" w:name="O_951747"/>
      <w:bookmarkEnd w:id="3"/>
      <w:r w:rsidRPr="00036D6E">
        <w:t>Knowledge Evidence</w:t>
      </w:r>
    </w:p>
    <w:p w:rsidR="00000000" w:rsidRPr="00036D6E" w:rsidP="00414760">
      <w:pPr>
        <w:pStyle w:val="BodyText"/>
      </w:pPr>
      <w:r w:rsidRPr="00036D6E">
        <w:t>Evid</w:t>
      </w:r>
      <w:r w:rsidRPr="00036D6E">
        <w:t>ence required to demonstrate the required knowledge for this unit must be relevant to and satisfy the requirements of the elements and performance criteria and include knowledge of:</w:t>
      </w:r>
    </w:p>
    <w:p w:rsidR="00000000" w:rsidRPr="00036D6E" w:rsidP="00036D6E">
      <w:pPr>
        <w:pStyle w:val="ListBullet"/>
      </w:pPr>
      <w:r w:rsidRPr="00036D6E">
        <w:t>safe work practices and procedures and use of personal protective equipme</w:t>
      </w:r>
      <w:r w:rsidRPr="00036D6E">
        <w:t>nt (PPE)</w:t>
      </w:r>
    </w:p>
    <w:p w:rsidR="00000000" w:rsidRPr="00036D6E" w:rsidP="00036D6E">
      <w:pPr>
        <w:pStyle w:val="ListBullet"/>
      </w:pPr>
      <w:r w:rsidRPr="00036D6E">
        <w:t xml:space="preserve">operating principles of track type undercarriage </w:t>
      </w:r>
    </w:p>
    <w:p w:rsidR="00000000" w:rsidRPr="00036D6E" w:rsidP="00036D6E">
      <w:pPr>
        <w:pStyle w:val="ListBullet"/>
      </w:pPr>
      <w:r w:rsidRPr="00036D6E">
        <w:t>procedures for:</w:t>
      </w:r>
    </w:p>
    <w:p w:rsidR="00000000" w:rsidRPr="00036D6E" w:rsidP="00036D6E">
      <w:pPr>
        <w:pStyle w:val="ListBullet2"/>
      </w:pPr>
      <w:r w:rsidRPr="00036D6E">
        <w:t>checking track type undercarriage components for wear and tools, techniques and equipment</w:t>
      </w:r>
    </w:p>
    <w:p w:rsidR="00000000" w:rsidRPr="00036D6E" w:rsidP="00036D6E">
      <w:pPr>
        <w:pStyle w:val="ListBullet2"/>
      </w:pPr>
      <w:r w:rsidRPr="00036D6E">
        <w:t>aligning track frames and tools, techniques and equipment</w:t>
      </w:r>
    </w:p>
    <w:p w:rsidR="00000000" w:rsidRPr="00036D6E" w:rsidP="00036D6E">
      <w:pPr>
        <w:pStyle w:val="ListBullet2"/>
      </w:pPr>
      <w:r w:rsidRPr="00036D6E">
        <w:t>removing and replacing track type undercarriage components and precautions to be taken</w:t>
      </w:r>
    </w:p>
    <w:p w:rsidR="00000000" w:rsidRPr="00036D6E" w:rsidP="00036D6E">
      <w:pPr>
        <w:pStyle w:val="ListBullet2"/>
      </w:pPr>
      <w:r w:rsidRPr="00036D6E">
        <w:t>setting track tension and adjusting clearances setting track tension and adjusting clearances</w:t>
      </w:r>
    </w:p>
    <w:p w:rsidR="00000000" w:rsidRPr="00036D6E" w:rsidP="00036D6E">
      <w:pPr>
        <w:pStyle w:val="ListBullet"/>
      </w:pPr>
      <w:r w:rsidRPr="00036D6E">
        <w:t xml:space="preserve">reasons for selecting the chosen tools, techniques and equipment </w:t>
      </w:r>
    </w:p>
    <w:p w:rsidR="00000000" w:rsidRPr="00036D6E" w:rsidP="00036D6E">
      <w:pPr>
        <w:pStyle w:val="ListBullet"/>
      </w:pPr>
      <w:r w:rsidRPr="00036D6E">
        <w:t>specific</w:t>
      </w:r>
      <w:r w:rsidRPr="00036D6E">
        <w:t xml:space="preserve">ations of the track type undercarriage components </w:t>
      </w:r>
    </w:p>
    <w:p w:rsidR="00000000" w:rsidRPr="00036D6E" w:rsidP="00036D6E">
      <w:pPr>
        <w:pStyle w:val="ListBullet"/>
      </w:pPr>
      <w:r w:rsidRPr="00036D6E">
        <w:t>action to be taken to overcome the wear and/or damage detected.</w:t>
      </w:r>
    </w:p>
    <w:p w:rsidR="00000000" w:rsidRPr="00036D6E" w:rsidP="00036D6E">
      <w:pPr>
        <w:pStyle w:val="AllowPageBreak"/>
      </w:pPr>
    </w:p>
    <w:p w:rsidR="00000000" w:rsidRPr="00036D6E" w:rsidP="00036D6E">
      <w:pPr>
        <w:pStyle w:val="Heading1"/>
      </w:pPr>
      <w:bookmarkStart w:id="4" w:name="O_951746"/>
      <w:bookmarkEnd w:id="4"/>
      <w:r w:rsidRPr="00036D6E">
        <w:t>Assessment Conditions</w:t>
      </w:r>
    </w:p>
    <w:p w:rsidR="00000000" w:rsidRPr="00036D6E" w:rsidP="00036D6E">
      <w:pPr>
        <w:pStyle w:val="ListBullet"/>
      </w:pPr>
      <w:r w:rsidRPr="00036D6E">
        <w:t>Assessors must:</w:t>
      </w:r>
    </w:p>
    <w:p w:rsidR="00000000" w:rsidRPr="00036D6E" w:rsidP="00036D6E">
      <w:pPr>
        <w:pStyle w:val="ListBullet2"/>
      </w:pPr>
      <w:r w:rsidRPr="00036D6E">
        <w:t>have vocational competency in maintaining track type undercarriage on mobile plant a</w:t>
      </w:r>
      <w:r w:rsidRPr="00036D6E">
        <w:t>t least to the level being assessed with relevant industry knowledge and experience</w:t>
      </w:r>
    </w:p>
    <w:p w:rsidR="00000000" w:rsidRPr="00036D6E" w:rsidP="00036D6E">
      <w:pPr>
        <w:pStyle w:val="ListBullet2"/>
      </w:pPr>
      <w:r w:rsidRPr="00036D6E">
        <w:t xml:space="preserve">satisfy the assessor requirements in the </w:t>
      </w:r>
      <w:r w:rsidRPr="00036D6E">
        <w:rPr>
          <w:rStyle w:val="Emphasis"/>
        </w:rPr>
        <w:t xml:space="preserve">Standards for Registered Training Organisations 2015 </w:t>
      </w:r>
      <w:r w:rsidRPr="00036D6E">
        <w:t>or its replacement</w:t>
      </w:r>
      <w:r w:rsidRPr="00036D6E">
        <w:rPr>
          <w:rStyle w:val="Emphasis"/>
        </w:rPr>
        <w:t xml:space="preserve"> </w:t>
      </w:r>
      <w:r w:rsidRPr="00036D6E">
        <w:t xml:space="preserve">and comply with the </w:t>
      </w:r>
      <w:r w:rsidRPr="00036D6E">
        <w:rPr>
          <w:rStyle w:val="Emphasis"/>
        </w:rPr>
        <w:t>National Vocational Education and Train</w:t>
      </w:r>
      <w:r w:rsidRPr="00036D6E">
        <w:rPr>
          <w:rStyle w:val="Emphasis"/>
        </w:rPr>
        <w:t xml:space="preserve">ing Regulator Act 2011, </w:t>
      </w:r>
      <w:r w:rsidRPr="00036D6E">
        <w:t>its replacement</w:t>
      </w:r>
      <w:r w:rsidRPr="00036D6E">
        <w:rPr>
          <w:rStyle w:val="Emphasis"/>
        </w:rPr>
        <w:t xml:space="preserve"> </w:t>
      </w:r>
      <w:r w:rsidRPr="00036D6E">
        <w:t>or equivalent legislation covering VET regulation in a non-referring state/territory as the case requires</w:t>
      </w:r>
    </w:p>
    <w:p w:rsidR="00000000" w:rsidRPr="00036D6E" w:rsidP="00036D6E">
      <w:pPr>
        <w:pStyle w:val="ListBullet"/>
      </w:pPr>
      <w:r w:rsidRPr="00036D6E">
        <w:t>Where possible assessment must occur in operational workplace situations. Where this is not possible or where</w:t>
      </w:r>
      <w:r w:rsidRPr="00036D6E">
        <w:t xml:space="preserve"> personal safety or environmental damage are limiting factors, assessment must occur in a sufficiently rigorous simulated environment that reflects realistic operational workplace conditions. This must cover all aspects of workplace performance, including </w:t>
      </w:r>
      <w:r w:rsidRPr="00036D6E">
        <w:t>environment, task skills, task management skills, contingency management skills and job role environment skills</w:t>
      </w:r>
    </w:p>
    <w:p w:rsidR="00000000" w:rsidRPr="00036D6E" w:rsidP="00036D6E">
      <w:pPr>
        <w:pStyle w:val="ListBullet"/>
      </w:pPr>
      <w:r w:rsidRPr="00036D6E">
        <w:t>Conditions for assessment must include access to all tools, equipment, materials and documentation required, including relevant workplace proced</w:t>
      </w:r>
      <w:r w:rsidRPr="00036D6E">
        <w:t>ures, product and manufacturing specifications</w:t>
      </w:r>
    </w:p>
    <w:p w:rsidR="00000000" w:rsidRPr="00036D6E" w:rsidP="00036D6E">
      <w:pPr>
        <w:pStyle w:val="ListBullet"/>
      </w:pPr>
      <w:r w:rsidRPr="00036D6E">
        <w:t>Assessment processes and techniques must be appropriate to the language, literacy and numeracy requirements of the work being performed and the needs of the candidate.</w:t>
      </w:r>
    </w:p>
    <w:p w:rsidR="00000000" w:rsidRPr="00036D6E" w:rsidP="00036D6E">
      <w:pPr>
        <w:pStyle w:val="AllowPageBreak"/>
      </w:pPr>
    </w:p>
    <w:p w:rsidR="00000000" w:rsidRPr="00036D6E" w:rsidP="00036D6E">
      <w:pPr>
        <w:pStyle w:val="Heading1"/>
      </w:pPr>
      <w:bookmarkStart w:id="5" w:name="O_951744"/>
      <w:bookmarkEnd w:id="5"/>
      <w:r w:rsidRPr="00036D6E">
        <w:t>Links</w:t>
      </w:r>
    </w:p>
    <w:p w:rsidR="00000000" w:rsidRPr="00036D6E" w:rsidP="00414760">
      <w:pPr>
        <w:pStyle w:val="BodyText"/>
      </w:pPr>
      <w:r w:rsidRPr="00036D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177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6D6E" w:rsidP="00036D6E"/>
    <w:sectPr w:rsidSect="00036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6E" w:rsidRPr="00414760" w:rsidP="00414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60" w:rsidP="00036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4760" w:rsidP="00036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4760" w:rsidP="00036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D6E" w:rsidRPr="00414760" w:rsidP="00414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60" w:rsidRPr="002D2AF8" w:rsidP="00036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MEM27011 Maintain track type undercarriage on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14760" w:rsidP="00036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6E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564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003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D6E"/>
  </w:style>
  <w:style w:type="character" w:customStyle="1" w:styleId="Heading1Char">
    <w:name w:val="Heading 1 Char"/>
    <w:basedOn w:val="DefaultParagraphFont"/>
    <w:link w:val="Heading1"/>
    <w:rsid w:val="00036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D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D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6D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6D6E"/>
    <w:rPr>
      <w:i/>
    </w:rPr>
  </w:style>
  <w:style w:type="paragraph" w:customStyle="1" w:styleId="SuperHeading">
    <w:name w:val="SuperHeading"/>
    <w:basedOn w:val="Normal"/>
    <w:rsid w:val="00036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D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D6E"/>
    <w:rPr>
      <w:b/>
      <w:spacing w:val="0"/>
    </w:rPr>
  </w:style>
  <w:style w:type="paragraph" w:customStyle="1" w:styleId="SuperTitle">
    <w:name w:val="SuperTitle"/>
    <w:basedOn w:val="Title"/>
    <w:rsid w:val="00036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D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D6E"/>
  </w:style>
  <w:style w:type="paragraph" w:styleId="TableofFigures">
    <w:name w:val="table of figures"/>
    <w:basedOn w:val="Normal"/>
    <w:next w:val="Normal"/>
    <w:semiHidden/>
    <w:rsid w:val="00036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D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D6E"/>
    <w:rPr>
      <w:rFonts w:ascii="Wingdings" w:hAnsi="Wingdings"/>
    </w:rPr>
  </w:style>
  <w:style w:type="paragraph" w:customStyle="1" w:styleId="TableHeading">
    <w:name w:val="Table Heading"/>
    <w:basedOn w:val="HeadingBase"/>
    <w:rsid w:val="00036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D6E"/>
    <w:rPr>
      <w:color w:val="0033CC"/>
      <w:u w:val="none"/>
    </w:rPr>
  </w:style>
  <w:style w:type="paragraph" w:customStyle="1" w:styleId="BodyTextRight">
    <w:name w:val="Body Text Right"/>
    <w:basedOn w:val="BodyText"/>
    <w:rsid w:val="00036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D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D6E"/>
    <w:rPr>
      <w:sz w:val="32"/>
    </w:rPr>
  </w:style>
  <w:style w:type="paragraph" w:customStyle="1" w:styleId="HeadingProcedure">
    <w:name w:val="Heading Procedure"/>
    <w:basedOn w:val="HeadingBase"/>
    <w:next w:val="Normal"/>
    <w:rsid w:val="00036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D6E"/>
    <w:pPr>
      <w:spacing w:before="60" w:after="60"/>
    </w:pPr>
  </w:style>
  <w:style w:type="paragraph" w:styleId="ListContinue">
    <w:name w:val="List Continue"/>
    <w:basedOn w:val="List"/>
    <w:rsid w:val="00036D6E"/>
    <w:pPr>
      <w:ind w:firstLine="0"/>
    </w:pPr>
  </w:style>
  <w:style w:type="paragraph" w:customStyle="1" w:styleId="ListNote">
    <w:name w:val="List Note"/>
    <w:basedOn w:val="List"/>
    <w:rsid w:val="00036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D6E"/>
    <w:rPr>
      <w:rFonts w:ascii="Courier New" w:hAnsi="Courier New"/>
    </w:rPr>
  </w:style>
  <w:style w:type="paragraph" w:customStyle="1" w:styleId="NoteBullet">
    <w:name w:val="Note Bullet"/>
    <w:basedOn w:val="Note"/>
    <w:rsid w:val="00036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D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D6E"/>
    <w:rPr>
      <w:b/>
      <w:smallCaps/>
    </w:rPr>
  </w:style>
  <w:style w:type="paragraph" w:customStyle="1" w:styleId="TableListNumber">
    <w:name w:val="Table List Number"/>
    <w:basedOn w:val="ListNumber"/>
    <w:rsid w:val="00036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D6E"/>
    <w:pPr>
      <w:numPr>
        <w:numId w:val="9"/>
      </w:numPr>
    </w:pPr>
  </w:style>
  <w:style w:type="paragraph" w:customStyle="1" w:styleId="ListAlpha2">
    <w:name w:val="List Alpha 2"/>
    <w:basedOn w:val="List2"/>
    <w:rsid w:val="00036D6E"/>
    <w:pPr>
      <w:numPr>
        <w:numId w:val="8"/>
      </w:numPr>
    </w:pPr>
  </w:style>
  <w:style w:type="paragraph" w:styleId="List2">
    <w:name w:val="List 2"/>
    <w:basedOn w:val="BodyText"/>
    <w:rsid w:val="00036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D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D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D6E"/>
    <w:pPr>
      <w:numPr>
        <w:numId w:val="4"/>
      </w:numPr>
    </w:pPr>
  </w:style>
  <w:style w:type="paragraph" w:styleId="ListContinue2">
    <w:name w:val="List Continue 2"/>
    <w:basedOn w:val="List2"/>
    <w:rsid w:val="00036D6E"/>
    <w:pPr>
      <w:ind w:firstLine="0"/>
    </w:pPr>
  </w:style>
  <w:style w:type="paragraph" w:styleId="ListContinue3">
    <w:name w:val="List Continue 3"/>
    <w:basedOn w:val="List3"/>
    <w:rsid w:val="00036D6E"/>
    <w:pPr>
      <w:ind w:left="1021" w:firstLine="0"/>
    </w:pPr>
  </w:style>
  <w:style w:type="paragraph" w:styleId="ListContinue4">
    <w:name w:val="List Continue 4"/>
    <w:basedOn w:val="List4"/>
    <w:rsid w:val="00036D6E"/>
    <w:pPr>
      <w:ind w:firstLine="0"/>
    </w:pPr>
  </w:style>
  <w:style w:type="paragraph" w:styleId="ListContinue5">
    <w:name w:val="List Continue 5"/>
    <w:basedOn w:val="List5"/>
    <w:rsid w:val="00036D6E"/>
    <w:pPr>
      <w:ind w:firstLine="0"/>
    </w:pPr>
  </w:style>
  <w:style w:type="paragraph" w:styleId="ListNumber3">
    <w:name w:val="List Number 3"/>
    <w:basedOn w:val="List3"/>
    <w:rsid w:val="00036D6E"/>
    <w:pPr>
      <w:numPr>
        <w:numId w:val="5"/>
      </w:numPr>
    </w:pPr>
  </w:style>
  <w:style w:type="paragraph" w:styleId="ListNumber4">
    <w:name w:val="List Number 4"/>
    <w:basedOn w:val="List4"/>
    <w:rsid w:val="00036D6E"/>
    <w:pPr>
      <w:numPr>
        <w:numId w:val="6"/>
      </w:numPr>
    </w:pPr>
  </w:style>
  <w:style w:type="paragraph" w:styleId="ListNumber5">
    <w:name w:val="List Number 5"/>
    <w:basedOn w:val="List5"/>
    <w:rsid w:val="00036D6E"/>
    <w:pPr>
      <w:numPr>
        <w:numId w:val="7"/>
      </w:numPr>
    </w:pPr>
  </w:style>
  <w:style w:type="paragraph" w:styleId="BlockText">
    <w:name w:val="Block Text"/>
    <w:basedOn w:val="Normal"/>
    <w:rsid w:val="00036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D6E"/>
    <w:rPr>
      <w:sz w:val="16"/>
      <w:vertAlign w:val="superscript"/>
    </w:rPr>
  </w:style>
  <w:style w:type="character" w:customStyle="1" w:styleId="Symbols">
    <w:name w:val="Symbols"/>
    <w:basedOn w:val="DefaultParagraphFont"/>
    <w:rsid w:val="00036D6E"/>
    <w:rPr>
      <w:rFonts w:ascii="Symbol" w:hAnsi="Symbol"/>
    </w:rPr>
  </w:style>
  <w:style w:type="character" w:customStyle="1" w:styleId="MenuOptions">
    <w:name w:val="Menu Options"/>
    <w:basedOn w:val="DefaultParagraphFont"/>
    <w:rsid w:val="00036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D6E"/>
    <w:rPr>
      <w:b/>
    </w:rPr>
  </w:style>
  <w:style w:type="character" w:customStyle="1" w:styleId="Underlined">
    <w:name w:val="Underlined"/>
    <w:basedOn w:val="DefaultParagraphFont"/>
    <w:rsid w:val="00036D6E"/>
    <w:rPr>
      <w:u w:val="single"/>
    </w:rPr>
  </w:style>
  <w:style w:type="paragraph" w:customStyle="1" w:styleId="TableBodyTextRight">
    <w:name w:val="Table Body Text Right"/>
    <w:basedOn w:val="TableBodyText"/>
    <w:rsid w:val="00036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D6E"/>
    <w:rPr>
      <w:sz w:val="18"/>
    </w:rPr>
  </w:style>
  <w:style w:type="paragraph" w:customStyle="1" w:styleId="BodySmallRight">
    <w:name w:val="Body Small Right"/>
    <w:basedOn w:val="BodyTextRight"/>
    <w:rsid w:val="00036D6E"/>
    <w:rPr>
      <w:sz w:val="18"/>
      <w:szCs w:val="18"/>
    </w:rPr>
  </w:style>
  <w:style w:type="paragraph" w:customStyle="1" w:styleId="MarginEdition">
    <w:name w:val="Margin Edition"/>
    <w:basedOn w:val="MarginNote"/>
    <w:rsid w:val="00036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D6E"/>
    <w:rPr>
      <w:sz w:val="2"/>
      <w:szCs w:val="2"/>
    </w:rPr>
  </w:style>
  <w:style w:type="character" w:customStyle="1" w:styleId="Small">
    <w:name w:val="Small"/>
    <w:basedOn w:val="DefaultParagraphFont"/>
    <w:rsid w:val="00036D6E"/>
    <w:rPr>
      <w:sz w:val="16"/>
    </w:rPr>
  </w:style>
  <w:style w:type="paragraph" w:customStyle="1" w:styleId="WideTable">
    <w:name w:val="Wide Table"/>
    <w:basedOn w:val="Normal"/>
    <w:rsid w:val="00036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D6E"/>
  </w:style>
  <w:style w:type="paragraph" w:styleId="Quote">
    <w:name w:val="Quote"/>
    <w:basedOn w:val="Heading1"/>
    <w:link w:val="QuoteChar"/>
    <w:qFormat/>
    <w:rsid w:val="00036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D6E"/>
    <w:pPr>
      <w:pageBreakBefore/>
    </w:pPr>
  </w:style>
  <w:style w:type="paragraph" w:customStyle="1" w:styleId="Border">
    <w:name w:val="Border"/>
    <w:basedOn w:val="Normal"/>
    <w:qFormat/>
    <w:rsid w:val="00036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D6E"/>
    <w:rPr>
      <w:u w:val="single"/>
    </w:rPr>
  </w:style>
  <w:style w:type="character" w:customStyle="1" w:styleId="BoldandItalics">
    <w:name w:val="Bold and Italics"/>
    <w:qFormat/>
    <w:rsid w:val="00036D6E"/>
    <w:rPr>
      <w:b/>
      <w:i/>
      <w:u w:val="none"/>
    </w:rPr>
  </w:style>
  <w:style w:type="paragraph" w:styleId="BalloonText">
    <w:name w:val="Balloon Text"/>
    <w:basedOn w:val="Normal"/>
    <w:link w:val="BalloonTextChar"/>
    <w:rsid w:val="00036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D6E"/>
    <w:pPr>
      <w:spacing w:before="0" w:after="0"/>
    </w:pPr>
  </w:style>
  <w:style w:type="paragraph" w:customStyle="1" w:styleId="BodyTextBold">
    <w:name w:val="Body Text Bold"/>
    <w:basedOn w:val="BodyText"/>
    <w:qFormat/>
    <w:rsid w:val="00036D6E"/>
    <w:rPr>
      <w:b/>
    </w:rPr>
  </w:style>
  <w:style w:type="character" w:styleId="Hyperlink">
    <w:name w:val="Hyperlink"/>
    <w:basedOn w:val="DefaultParagraphFont"/>
    <w:uiPriority w:val="99"/>
    <w:unhideWhenUsed/>
    <w:rsid w:val="00414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3573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MEM27011 Maintain track type undercarriage on mobile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