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55BE" w:rsidP="003755BE">
      <w:pPr>
        <w:pStyle w:val="Title"/>
      </w:pPr>
      <w:r>
        <w:fldChar w:fldCharType="begin"/>
      </w:r>
      <w:r>
        <w:instrText xml:space="preserve"> TITLE   \* MERGEFORMAT </w:instrText>
      </w:r>
      <w:r>
        <w:fldChar w:fldCharType="separate"/>
      </w:r>
      <w:r>
        <w:t>MEM27006 Diagnose and rectify batteries, low voltage sensors and circuits</w:t>
      </w:r>
      <w:r>
        <w:fldChar w:fldCharType="end"/>
      </w:r>
    </w:p>
    <w:p w:rsidR="003755BE" w:rsidP="003755BE">
      <w:pPr>
        <w:pStyle w:val="Version"/>
        <w:sectPr w:rsidSect="00973F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3F46" w:rsidP="00973F46">
      <w:pPr>
        <w:pStyle w:val="SuperHeading"/>
      </w:pPr>
      <w:r w:rsidRPr="00973F46">
        <w:t>MEM27006 Diag</w:t>
      </w:r>
      <w:r w:rsidRPr="00973F46">
        <w:t>nose and rectify batteries, low voltage sensors and circuits</w:t>
      </w:r>
    </w:p>
    <w:p w:rsidR="00000000" w:rsidRPr="00973F46" w:rsidP="00973F46">
      <w:pPr>
        <w:pStyle w:val="Heading1"/>
      </w:pPr>
      <w:bookmarkStart w:id="1" w:name="O_951654"/>
      <w:bookmarkEnd w:id="1"/>
      <w:r w:rsidRPr="00973F46">
        <w:t>Modification History</w:t>
      </w:r>
    </w:p>
    <w:p w:rsidR="00000000" w:rsidRPr="00973F46" w:rsidP="003755BE">
      <w:pPr>
        <w:pStyle w:val="BodyText"/>
      </w:pPr>
      <w:r w:rsidRPr="00973F46">
        <w:t xml:space="preserve">Release 1. Supersedes and is equivalent to MEM18030B Diagnose and rectify low voltage electrical systems </w:t>
      </w:r>
    </w:p>
    <w:p w:rsidR="00000000" w:rsidRPr="00973F46" w:rsidP="00973F46">
      <w:pPr>
        <w:pStyle w:val="Heading1"/>
      </w:pPr>
      <w:bookmarkStart w:id="2" w:name="O_951662"/>
      <w:bookmarkEnd w:id="2"/>
      <w:r w:rsidRPr="00973F46">
        <w:t>Application</w:t>
      </w:r>
    </w:p>
    <w:p w:rsidR="00000000" w:rsidRPr="00973F46" w:rsidP="003755BE">
      <w:pPr>
        <w:pStyle w:val="BodyText"/>
      </w:pPr>
      <w:r w:rsidRPr="00973F46">
        <w:t>This unit of competency defines the skills and knowledge required to use test instruments, test the battery, assess and rectify wiring faults.</w:t>
      </w:r>
    </w:p>
    <w:p w:rsidR="00000000" w:rsidRPr="00973F46" w:rsidP="003755BE">
      <w:pPr>
        <w:pStyle w:val="BodyText"/>
      </w:pPr>
      <w:r w:rsidRPr="00973F46">
        <w:t>It applies to testing and rectification activities associated with 12, 24 36 and 48 volt wiring systems on vehic</w:t>
      </w:r>
      <w:r w:rsidRPr="00973F46">
        <w:t>les, mobile plant and stationary equipment.</w:t>
      </w:r>
    </w:p>
    <w:p w:rsidR="00000000" w:rsidRPr="00973F46" w:rsidP="003755BE">
      <w:pPr>
        <w:pStyle w:val="BodyText"/>
      </w:pPr>
      <w:r w:rsidRPr="00973F46">
        <w:t>Where soldering of wires/connections is required unit MEM05001 Perform manual soldering/desoldering - electrical/electronic components should also be selected.</w:t>
      </w:r>
    </w:p>
    <w:p w:rsidR="00000000" w:rsidRPr="00973F46" w:rsidP="003755BE">
      <w:pPr>
        <w:pStyle w:val="BodyText"/>
      </w:pPr>
      <w:r w:rsidRPr="00973F46">
        <w:t>Where an electrical wiring system is above 48 volt</w:t>
      </w:r>
      <w:r w:rsidRPr="00973F46">
        <w:t>s unit MEM18045 Fault find and repair electrical equipment/components up to 250 volts single phase supply or unit MEM18046 Fault find and repair electrical equipment/components up to 1000 volts a.c./1500 volts d.c. should also be selected as appropriate.</w:t>
      </w:r>
    </w:p>
    <w:p w:rsidR="00000000" w:rsidRPr="00973F46" w:rsidP="003755BE">
      <w:pPr>
        <w:pStyle w:val="BodyText"/>
      </w:pPr>
      <w:r w:rsidRPr="00973F46">
        <w:t>No licensing, legislative or certification requirements apply to this unit at the time of publication.</w:t>
      </w:r>
    </w:p>
    <w:p w:rsidR="00000000" w:rsidRPr="00973F46" w:rsidP="00973F46">
      <w:pPr>
        <w:pStyle w:val="BodyText"/>
      </w:pPr>
      <w:r w:rsidRPr="00973F46">
        <w:rPr>
          <w:rStyle w:val="SpecialBold"/>
        </w:rPr>
        <w:t>Band</w:t>
      </w:r>
      <w:r w:rsidRPr="00973F46">
        <w:t>:</w:t>
      </w:r>
      <w:r w:rsidRPr="00973F46">
        <w:tab/>
      </w:r>
      <w:r w:rsidRPr="00973F46">
        <w:rPr>
          <w:rStyle w:val="SpecialBold"/>
        </w:rPr>
        <w:t>A</w:t>
      </w:r>
    </w:p>
    <w:p w:rsidR="00000000" w:rsidRPr="00973F46" w:rsidP="00973F46">
      <w:pPr>
        <w:pStyle w:val="BodyText"/>
      </w:pPr>
      <w:r w:rsidRPr="00973F46">
        <w:rPr>
          <w:rStyle w:val="SpecialBold"/>
        </w:rPr>
        <w:t>Unit Weight</w:t>
      </w:r>
      <w:r w:rsidRPr="00973F46">
        <w:t>:</w:t>
      </w:r>
      <w:r w:rsidRPr="00973F46">
        <w:tab/>
      </w:r>
      <w:r w:rsidRPr="00973F46">
        <w:rPr>
          <w:rStyle w:val="SpecialBold"/>
        </w:rPr>
        <w:t>8</w:t>
      </w:r>
    </w:p>
    <w:p w:rsidR="00000000" w:rsidRPr="00973F46" w:rsidP="00973F46">
      <w:pPr>
        <w:pStyle w:val="AllowPageBreak"/>
      </w:pPr>
    </w:p>
    <w:p w:rsidR="00000000" w:rsidRPr="00973F46" w:rsidP="00973F46">
      <w:pPr>
        <w:pStyle w:val="Heading1"/>
      </w:pPr>
      <w:bookmarkStart w:id="3" w:name="O_951661"/>
      <w:bookmarkEnd w:id="3"/>
      <w:r w:rsidRPr="00973F46">
        <w:t>Pre-requisite Unit</w:t>
      </w:r>
    </w:p>
    <w:tbl>
      <w:tblPr>
        <w:tblW w:w="0" w:type="auto"/>
        <w:tblLayout w:type="fixed"/>
        <w:tblCellMar>
          <w:left w:w="62" w:type="dxa"/>
          <w:right w:w="62" w:type="dxa"/>
        </w:tblCellMar>
        <w:tblLook w:val="0000"/>
      </w:tblPr>
      <w:tblGrid>
        <w:gridCol w:w="2186"/>
        <w:gridCol w:w="6886"/>
      </w:tblGrid>
      <w:tr w:rsidTr="00973F46">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MEM09002</w:t>
            </w:r>
          </w:p>
        </w:tc>
        <w:tc>
          <w:tcPr>
            <w:tcW w:w="6886"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Interpret technical drawing</w:t>
            </w:r>
          </w:p>
        </w:tc>
      </w:tr>
      <w:tr w:rsidTr="00973F46">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MEM11011</w:t>
            </w:r>
          </w:p>
        </w:tc>
        <w:tc>
          <w:tcPr>
            <w:tcW w:w="6886"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Undertake manual handling</w:t>
            </w:r>
          </w:p>
        </w:tc>
      </w:tr>
      <w:tr w:rsidTr="00973F46">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MEM12023</w:t>
            </w:r>
          </w:p>
        </w:tc>
        <w:tc>
          <w:tcPr>
            <w:tcW w:w="6886"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Perform engineering measurements</w:t>
            </w:r>
          </w:p>
        </w:tc>
      </w:tr>
      <w:tr w:rsidTr="00973F46">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MEM13015</w:t>
            </w:r>
          </w:p>
        </w:tc>
        <w:tc>
          <w:tcPr>
            <w:tcW w:w="6886"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Work safely and effectively in manufacturing and engineering</w:t>
            </w:r>
          </w:p>
        </w:tc>
      </w:tr>
      <w:tr w:rsidTr="00973F46">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MEM16006</w:t>
            </w:r>
          </w:p>
        </w:tc>
        <w:tc>
          <w:tcPr>
            <w:tcW w:w="6886"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Organise and communicate information</w:t>
            </w:r>
          </w:p>
        </w:tc>
      </w:tr>
      <w:tr w:rsidTr="00973F46">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MEM18001</w:t>
            </w:r>
          </w:p>
        </w:tc>
        <w:tc>
          <w:tcPr>
            <w:tcW w:w="6886"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Use hand tools</w:t>
            </w:r>
          </w:p>
        </w:tc>
      </w:tr>
      <w:tr w:rsidTr="00973F46">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MEM18002</w:t>
            </w:r>
          </w:p>
        </w:tc>
        <w:tc>
          <w:tcPr>
            <w:tcW w:w="6886"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Use power tools/hand held operations</w:t>
            </w:r>
          </w:p>
        </w:tc>
      </w:tr>
      <w:tr w:rsidTr="00973F46">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MEM18055</w:t>
            </w:r>
          </w:p>
        </w:tc>
        <w:tc>
          <w:tcPr>
            <w:tcW w:w="6886" w:type="dxa"/>
            <w:tcBorders>
              <w:top w:val="nil"/>
              <w:left w:val="nil"/>
              <w:bottom w:val="nil"/>
              <w:right w:val="nil"/>
            </w:tcBorders>
            <w:tcMar>
              <w:top w:w="0" w:type="dxa"/>
              <w:left w:w="62" w:type="dxa"/>
              <w:bottom w:w="0" w:type="dxa"/>
              <w:right w:w="62" w:type="dxa"/>
            </w:tcMar>
          </w:tcPr>
          <w:p w:rsidR="00000000" w:rsidRPr="00973F46" w:rsidP="00973F46">
            <w:pPr>
              <w:pStyle w:val="BodyText"/>
            </w:pPr>
            <w:r w:rsidRPr="00973F46">
              <w:t xml:space="preserve">Dismantle, replace and </w:t>
            </w:r>
            <w:r w:rsidRPr="00973F46">
              <w:t>assemble engineering components</w:t>
            </w:r>
          </w:p>
        </w:tc>
      </w:tr>
    </w:tbl>
    <w:p w:rsidR="00000000" w:rsidRPr="00973F46" w:rsidP="00973F46">
      <w:pPr>
        <w:pStyle w:val="BodyText"/>
      </w:pPr>
    </w:p>
    <w:p w:rsidR="00000000" w:rsidRPr="00973F46" w:rsidP="00973F46">
      <w:pPr>
        <w:pStyle w:val="AllowPageBreak"/>
      </w:pPr>
    </w:p>
    <w:p w:rsidR="00000000" w:rsidRPr="00973F46" w:rsidP="00973F46">
      <w:pPr>
        <w:pStyle w:val="Heading1"/>
      </w:pPr>
      <w:bookmarkStart w:id="4" w:name="O_951660"/>
      <w:bookmarkEnd w:id="4"/>
      <w:r w:rsidRPr="00973F46">
        <w:t>Competency Field</w:t>
      </w:r>
    </w:p>
    <w:p w:rsidR="00000000" w:rsidRPr="00973F46" w:rsidP="003755BE">
      <w:pPr>
        <w:pStyle w:val="BodyText"/>
      </w:pPr>
      <w:r w:rsidRPr="00973F46">
        <w:t>Fixed and mobile plant</w:t>
      </w:r>
    </w:p>
    <w:p w:rsidR="00000000" w:rsidRPr="00973F46" w:rsidP="00973F46">
      <w:pPr>
        <w:pStyle w:val="Heading1"/>
      </w:pPr>
      <w:bookmarkStart w:id="5" w:name="O_951658"/>
      <w:bookmarkEnd w:id="5"/>
      <w:r w:rsidRPr="00973F46">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973F46">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Performance criteria describe the performance needed to demonstrate achievement of the element.</w:t>
            </w:r>
          </w:p>
        </w:tc>
      </w:tr>
      <w:tr w:rsidTr="00973F4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73F46" w:rsidP="00973F46">
            <w:pPr>
              <w:pStyle w:val="BodyText"/>
            </w:pPr>
            <w:r w:rsidRPr="00973F46">
              <w:t>1</w:t>
            </w:r>
          </w:p>
        </w:tc>
        <w:tc>
          <w:tcPr>
            <w:tcW w:w="1986" w:type="dxa"/>
            <w:vMerge w:val="restart"/>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1.1</w:t>
            </w:r>
          </w:p>
        </w:tc>
        <w:tc>
          <w:tcPr>
            <w:tcW w:w="5678"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Follow standard operating procedures (SOPs)</w:t>
            </w:r>
          </w:p>
        </w:tc>
      </w:tr>
      <w:tr w:rsidTr="00973F4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1.2</w:t>
            </w:r>
          </w:p>
        </w:tc>
        <w:tc>
          <w:tcPr>
            <w:tcW w:w="5678"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Comply with work health and safety (WHS) requirements at all times</w:t>
            </w:r>
          </w:p>
        </w:tc>
      </w:tr>
      <w:tr w:rsidTr="00973F4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1.3</w:t>
            </w:r>
          </w:p>
        </w:tc>
        <w:tc>
          <w:tcPr>
            <w:tcW w:w="5678"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Use appropriate personal protective equipment (PPE) in accordance with SOPs</w:t>
            </w:r>
          </w:p>
        </w:tc>
      </w:tr>
      <w:tr w:rsidTr="00973F4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1.4</w:t>
            </w:r>
          </w:p>
        </w:tc>
        <w:tc>
          <w:tcPr>
            <w:tcW w:w="5678"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Identify job requirements from specifications, drawings, job sheets or work instructions</w:t>
            </w:r>
          </w:p>
        </w:tc>
      </w:tr>
      <w:tr w:rsidTr="00973F46">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73F46">
            <w:pPr>
              <w:pStyle w:val="BodyText"/>
              <w:rPr>
                <w:lang w:val="en-NZ"/>
              </w:rPr>
            </w:pPr>
          </w:p>
        </w:tc>
      </w:tr>
      <w:tr w:rsidTr="00973F4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73F46" w:rsidP="00973F46">
            <w:pPr>
              <w:pStyle w:val="BodyText"/>
            </w:pPr>
            <w:r w:rsidRPr="00973F46">
              <w:t>2</w:t>
            </w:r>
          </w:p>
        </w:tc>
        <w:tc>
          <w:tcPr>
            <w:tcW w:w="1986" w:type="dxa"/>
            <w:vMerge w:val="restart"/>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rPr>
                <w:rStyle w:val="SpecialBold"/>
              </w:rPr>
              <w:t>Use test instruments</w:t>
            </w:r>
          </w:p>
        </w:tc>
        <w:tc>
          <w:tcPr>
            <w:tcW w:w="779"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2.1</w:t>
            </w:r>
          </w:p>
        </w:tc>
        <w:tc>
          <w:tcPr>
            <w:tcW w:w="5678"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Apply principles of electron theory, current, voltage and resistance to diagnose and rectify low voltage electrical systems</w:t>
            </w:r>
          </w:p>
        </w:tc>
      </w:tr>
      <w:tr w:rsidTr="00973F4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2.2</w:t>
            </w:r>
          </w:p>
        </w:tc>
        <w:tc>
          <w:tcPr>
            <w:tcW w:w="5678"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Select, use and maintain appropriate test instruments to determine current, voltage and resistance</w:t>
            </w:r>
          </w:p>
        </w:tc>
      </w:tr>
      <w:tr w:rsidTr="00973F4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2.3</w:t>
            </w:r>
          </w:p>
        </w:tc>
        <w:tc>
          <w:tcPr>
            <w:tcW w:w="5678"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 xml:space="preserve">Interpret electrical drawings and manufacturer diagrams </w:t>
            </w:r>
          </w:p>
        </w:tc>
      </w:tr>
      <w:tr w:rsidTr="00973F4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2.4</w:t>
            </w:r>
          </w:p>
        </w:tc>
        <w:tc>
          <w:tcPr>
            <w:tcW w:w="5678"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Determine series, parallel and series parallel circuits</w:t>
            </w:r>
          </w:p>
        </w:tc>
      </w:tr>
      <w:tr w:rsidTr="00973F4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2.5</w:t>
            </w:r>
          </w:p>
        </w:tc>
        <w:tc>
          <w:tcPr>
            <w:tcW w:w="5678"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Interpret and apply basic electrical laws</w:t>
            </w:r>
          </w:p>
        </w:tc>
      </w:tr>
      <w:tr w:rsidTr="00973F4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2.6</w:t>
            </w:r>
          </w:p>
        </w:tc>
        <w:tc>
          <w:tcPr>
            <w:tcW w:w="5678"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Connect amps voltage and resistance (AVR) test instruments into circuits to meas</w:t>
            </w:r>
            <w:r w:rsidRPr="00973F46">
              <w:t>ure current, voltage and resistance</w:t>
            </w:r>
          </w:p>
        </w:tc>
      </w:tr>
      <w:tr w:rsidTr="00973F4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2.7</w:t>
            </w:r>
          </w:p>
        </w:tc>
        <w:tc>
          <w:tcPr>
            <w:tcW w:w="5678"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Read meters to standard accuracy</w:t>
            </w:r>
          </w:p>
        </w:tc>
      </w:tr>
      <w:tr w:rsidTr="00973F4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2.8</w:t>
            </w:r>
          </w:p>
        </w:tc>
        <w:tc>
          <w:tcPr>
            <w:tcW w:w="5678"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Use and apply multipliers and shunts</w:t>
            </w:r>
          </w:p>
        </w:tc>
      </w:tr>
      <w:tr w:rsidTr="00973F46">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73F46">
            <w:pPr>
              <w:pStyle w:val="BodyText"/>
              <w:rPr>
                <w:lang w:val="en-NZ"/>
              </w:rPr>
            </w:pPr>
          </w:p>
        </w:tc>
      </w:tr>
      <w:tr w:rsidTr="00973F4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73F46" w:rsidP="00973F46">
            <w:pPr>
              <w:pStyle w:val="BodyText"/>
            </w:pPr>
            <w:r w:rsidRPr="00973F46">
              <w:t>3</w:t>
            </w:r>
          </w:p>
        </w:tc>
        <w:tc>
          <w:tcPr>
            <w:tcW w:w="1986" w:type="dxa"/>
            <w:vMerge w:val="restart"/>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rPr>
                <w:rStyle w:val="SpecialBold"/>
              </w:rPr>
              <w:t>Test battery</w:t>
            </w:r>
          </w:p>
        </w:tc>
        <w:tc>
          <w:tcPr>
            <w:tcW w:w="779"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3.1</w:t>
            </w:r>
          </w:p>
        </w:tc>
        <w:tc>
          <w:tcPr>
            <w:tcW w:w="5678"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Interpret and apply chemical battery operating principles when testing batteries</w:t>
            </w:r>
          </w:p>
        </w:tc>
      </w:tr>
      <w:tr w:rsidTr="00973F4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3.2</w:t>
            </w:r>
          </w:p>
        </w:tc>
        <w:tc>
          <w:tcPr>
            <w:tcW w:w="5678"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Determine electrolyte level and record specific gravity readings temperature</w:t>
            </w:r>
          </w:p>
        </w:tc>
      </w:tr>
      <w:tr w:rsidTr="00973F4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3.3</w:t>
            </w:r>
          </w:p>
        </w:tc>
        <w:tc>
          <w:tcPr>
            <w:tcW w:w="5678"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Carry out dry charge preparation and recharging of batteries</w:t>
            </w:r>
          </w:p>
        </w:tc>
      </w:tr>
      <w:tr w:rsidTr="00973F4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3.4</w:t>
            </w:r>
          </w:p>
        </w:tc>
        <w:tc>
          <w:tcPr>
            <w:tcW w:w="5678"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Perform discharge testing according to prescribed procedures</w:t>
            </w:r>
          </w:p>
        </w:tc>
      </w:tr>
      <w:tr w:rsidTr="00973F4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3.5</w:t>
            </w:r>
          </w:p>
        </w:tc>
        <w:tc>
          <w:tcPr>
            <w:tcW w:w="5678"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Select replacement batteries for application</w:t>
            </w:r>
          </w:p>
        </w:tc>
      </w:tr>
      <w:tr w:rsidTr="00973F46">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73F46">
            <w:pPr>
              <w:pStyle w:val="BodyText"/>
              <w:rPr>
                <w:lang w:val="en-NZ"/>
              </w:rPr>
            </w:pPr>
          </w:p>
        </w:tc>
      </w:tr>
      <w:tr w:rsidTr="00973F4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73F46" w:rsidP="00973F46">
            <w:pPr>
              <w:pStyle w:val="BodyText"/>
            </w:pPr>
            <w:r w:rsidRPr="00973F46">
              <w:t>4</w:t>
            </w:r>
          </w:p>
        </w:tc>
        <w:tc>
          <w:tcPr>
            <w:tcW w:w="1986" w:type="dxa"/>
            <w:vMerge w:val="restart"/>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rPr>
                <w:rStyle w:val="SpecialBold"/>
              </w:rPr>
              <w:t>Assess and rectify wiring faults</w:t>
            </w:r>
          </w:p>
        </w:tc>
        <w:tc>
          <w:tcPr>
            <w:tcW w:w="779"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4.1</w:t>
            </w:r>
          </w:p>
        </w:tc>
        <w:tc>
          <w:tcPr>
            <w:tcW w:w="5678"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Isolate wiring and sensor fault</w:t>
            </w:r>
          </w:p>
        </w:tc>
      </w:tr>
      <w:tr w:rsidTr="00973F4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4.2</w:t>
            </w:r>
          </w:p>
        </w:tc>
        <w:tc>
          <w:tcPr>
            <w:tcW w:w="5678"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Determine replacement sensors and cables/wires, including size and insulation quality</w:t>
            </w:r>
          </w:p>
        </w:tc>
      </w:tr>
      <w:tr w:rsidTr="00973F4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4.3</w:t>
            </w:r>
          </w:p>
        </w:tc>
        <w:tc>
          <w:tcPr>
            <w:tcW w:w="5678"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Make up wiring looms for application and securely fix</w:t>
            </w:r>
          </w:p>
        </w:tc>
      </w:tr>
      <w:tr w:rsidTr="00973F4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4.4</w:t>
            </w:r>
          </w:p>
        </w:tc>
        <w:tc>
          <w:tcPr>
            <w:tcW w:w="5678"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Strip, fit, prepare and terminate wiring and cables</w:t>
            </w:r>
          </w:p>
        </w:tc>
      </w:tr>
      <w:tr w:rsidTr="00973F4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4.5</w:t>
            </w:r>
          </w:p>
        </w:tc>
        <w:tc>
          <w:tcPr>
            <w:tcW w:w="5678"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Test terminated cables for continuity and to comply with requirements</w:t>
            </w:r>
          </w:p>
        </w:tc>
      </w:tr>
      <w:tr w:rsidTr="00973F4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4.6</w:t>
            </w:r>
          </w:p>
        </w:tc>
        <w:tc>
          <w:tcPr>
            <w:tcW w:w="5678"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Remove corrosion, neutralise and apply appropriate protective coating</w:t>
            </w:r>
          </w:p>
        </w:tc>
      </w:tr>
      <w:tr w:rsidTr="00973F4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4.7</w:t>
            </w:r>
          </w:p>
        </w:tc>
        <w:tc>
          <w:tcPr>
            <w:tcW w:w="5678" w:type="dxa"/>
            <w:tcBorders>
              <w:top w:val="nil"/>
              <w:left w:val="nil"/>
              <w:bottom w:val="nil"/>
              <w:right w:val="nil"/>
            </w:tcBorders>
            <w:tcMar>
              <w:top w:w="0" w:type="dxa"/>
              <w:left w:w="62" w:type="dxa"/>
              <w:bottom w:w="0" w:type="dxa"/>
              <w:right w:w="62" w:type="dxa"/>
            </w:tcMar>
          </w:tcPr>
          <w:p w:rsidR="00000000" w:rsidRPr="00973F46" w:rsidP="00973F46">
            <w:pPr>
              <w:pStyle w:val="BodyText"/>
            </w:pPr>
            <w:r w:rsidRPr="00973F46">
              <w:t>Test sensors, relays, solenoids, contacts and circuits and repair/replace</w:t>
            </w:r>
          </w:p>
        </w:tc>
      </w:tr>
    </w:tbl>
    <w:p w:rsidR="00000000" w:rsidRPr="00973F46" w:rsidP="00973F46">
      <w:pPr>
        <w:pStyle w:val="BodyText"/>
      </w:pPr>
    </w:p>
    <w:p w:rsidR="00000000" w:rsidRPr="00973F46" w:rsidP="00973F46">
      <w:pPr>
        <w:pStyle w:val="AllowPageBreak"/>
      </w:pPr>
    </w:p>
    <w:p w:rsidR="00000000" w:rsidRPr="00973F46" w:rsidP="00973F46">
      <w:pPr>
        <w:pStyle w:val="Heading1"/>
      </w:pPr>
      <w:bookmarkStart w:id="6" w:name="O_951657"/>
      <w:bookmarkEnd w:id="6"/>
      <w:r w:rsidRPr="00973F46">
        <w:t>Foundation Skills</w:t>
      </w:r>
    </w:p>
    <w:p w:rsidR="00000000" w:rsidRPr="00973F46" w:rsidP="003755BE">
      <w:pPr>
        <w:pStyle w:val="BodyText"/>
      </w:pPr>
      <w:r w:rsidRPr="00973F46">
        <w:t>This section describes those required skills (reading, writing, oral</w:t>
      </w:r>
      <w:r w:rsidRPr="00973F46">
        <w:t xml:space="preserve"> communication and numeracy) that are essential to workplace performance in this unit of competency.  </w:t>
      </w:r>
    </w:p>
    <w:p w:rsidR="00000000" w:rsidRPr="00973F46" w:rsidP="003755BE">
      <w:pPr>
        <w:pStyle w:val="BodyText"/>
      </w:pPr>
      <w:r w:rsidRPr="00973F46">
        <w:t>Foundation skills essential to performance are explicit in the performance criteria of this unit of competency.</w:t>
      </w:r>
    </w:p>
    <w:p w:rsidR="00000000" w:rsidRPr="00973F46" w:rsidP="00973F46">
      <w:pPr>
        <w:pStyle w:val="Heading1"/>
      </w:pPr>
      <w:bookmarkStart w:id="7" w:name="O_951656"/>
      <w:bookmarkEnd w:id="7"/>
      <w:r w:rsidRPr="00973F46">
        <w:t>Range of Conditions</w:t>
      </w:r>
    </w:p>
    <w:tbl>
      <w:tblPr>
        <w:tblW w:w="0" w:type="auto"/>
        <w:tblLayout w:type="fixed"/>
        <w:tblCellMar>
          <w:left w:w="62" w:type="dxa"/>
          <w:right w:w="62" w:type="dxa"/>
        </w:tblCellMar>
        <w:tblLook w:val="0000"/>
      </w:tblPr>
      <w:tblGrid>
        <w:gridCol w:w="2684"/>
        <w:gridCol w:w="6458"/>
      </w:tblGrid>
      <w:tr w:rsidTr="00973F46">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t>This field allows for different work environments and conditions that may affect performance. Essential operating conditions that may be present (depending on the work situation, needs of the candidate, accessibility of the item, and local industry and reg</w:t>
            </w:r>
            <w:r w:rsidRPr="00973F46">
              <w:t>ional contexts) are included.</w:t>
            </w:r>
          </w:p>
        </w:tc>
      </w:tr>
      <w:tr w:rsidTr="00973F46">
        <w:tblPrEx>
          <w:tblW w:w="0" w:type="auto"/>
          <w:tblLayout w:type="fixed"/>
          <w:tblCellMar>
            <w:left w:w="62" w:type="dxa"/>
            <w:right w:w="62" w:type="dxa"/>
          </w:tblCellMar>
          <w:tblLook w:val="0000"/>
        </w:tblPrEx>
        <w:tc>
          <w:tcPr>
            <w:tcW w:w="2684"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rPr>
                <w:rStyle w:val="SpecialBold"/>
              </w:rPr>
              <w:t>Circuits include one (1) or more or the following for:</w:t>
            </w:r>
          </w:p>
        </w:tc>
        <w:tc>
          <w:tcPr>
            <w:tcW w:w="6458" w:type="dxa"/>
            <w:tcBorders>
              <w:top w:val="nil"/>
              <w:left w:val="nil"/>
              <w:bottom w:val="nil"/>
              <w:right w:val="nil"/>
            </w:tcBorders>
            <w:tcMar>
              <w:top w:w="0" w:type="dxa"/>
              <w:left w:w="62" w:type="dxa"/>
              <w:bottom w:w="0" w:type="dxa"/>
              <w:right w:w="62" w:type="dxa"/>
            </w:tcMar>
          </w:tcPr>
          <w:p w:rsidR="00000000" w:rsidRPr="00973F46" w:rsidP="00973F46">
            <w:pPr>
              <w:pStyle w:val="ListBullet"/>
            </w:pPr>
            <w:r w:rsidRPr="00973F46">
              <w:t>door and other access locks</w:t>
            </w:r>
          </w:p>
          <w:p w:rsidR="00000000" w:rsidRPr="00973F46" w:rsidP="00973F46">
            <w:pPr>
              <w:pStyle w:val="ListBullet"/>
            </w:pPr>
            <w:r w:rsidRPr="00973F46">
              <w:t>interior and exterior lighting</w:t>
            </w:r>
          </w:p>
          <w:p w:rsidR="00000000" w:rsidRPr="00973F46" w:rsidP="00973F46">
            <w:pPr>
              <w:pStyle w:val="ListBullet"/>
            </w:pPr>
            <w:r w:rsidRPr="00973F46">
              <w:t>seat adjustment</w:t>
            </w:r>
          </w:p>
          <w:p w:rsidR="00000000" w:rsidRPr="00973F46" w:rsidP="00973F46">
            <w:pPr>
              <w:pStyle w:val="ListBullet"/>
            </w:pPr>
            <w:r w:rsidRPr="00973F46">
              <w:t>power windows</w:t>
            </w:r>
          </w:p>
          <w:p w:rsidR="00000000" w:rsidRPr="00973F46" w:rsidP="00973F46">
            <w:pPr>
              <w:pStyle w:val="ListBullet"/>
            </w:pPr>
            <w:r w:rsidRPr="00973F46">
              <w:t>turning and other indicators</w:t>
            </w:r>
          </w:p>
          <w:p w:rsidR="00000000" w:rsidRPr="00973F46" w:rsidP="00973F46">
            <w:pPr>
              <w:pStyle w:val="ListBullet"/>
            </w:pPr>
            <w:r w:rsidRPr="00973F46">
              <w:t>low voltage electric motors</w:t>
            </w:r>
          </w:p>
          <w:p w:rsidR="00000000" w:rsidRPr="00973F46" w:rsidP="00973F46">
            <w:pPr>
              <w:pStyle w:val="ListBullet"/>
            </w:pPr>
            <w:r w:rsidRPr="00973F46">
              <w:t>hazard and brake light</w:t>
            </w:r>
            <w:r w:rsidRPr="00973F46">
              <w:t>s</w:t>
            </w:r>
          </w:p>
          <w:p w:rsidR="00000000" w:rsidRPr="00973F46" w:rsidP="00973F46">
            <w:pPr>
              <w:pStyle w:val="ListBullet"/>
            </w:pPr>
            <w:r w:rsidRPr="00973F46">
              <w:t>sensors</w:t>
            </w:r>
          </w:p>
          <w:p w:rsidR="00000000" w:rsidP="00973F46">
            <w:pPr>
              <w:pStyle w:val="BodyText"/>
              <w:rPr>
                <w:lang w:val="en-NZ"/>
              </w:rPr>
            </w:pPr>
          </w:p>
        </w:tc>
      </w:tr>
      <w:tr w:rsidTr="00973F46">
        <w:tblPrEx>
          <w:tblW w:w="0" w:type="auto"/>
          <w:tblLayout w:type="fixed"/>
          <w:tblCellMar>
            <w:left w:w="62" w:type="dxa"/>
            <w:right w:w="62" w:type="dxa"/>
          </w:tblCellMar>
          <w:tblLook w:val="0000"/>
        </w:tblPrEx>
        <w:tc>
          <w:tcPr>
            <w:tcW w:w="2684"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rPr>
                <w:rStyle w:val="SpecialBold"/>
              </w:rPr>
              <w:t>Test instruments include the following:</w:t>
            </w:r>
          </w:p>
        </w:tc>
        <w:tc>
          <w:tcPr>
            <w:tcW w:w="6458" w:type="dxa"/>
            <w:tcBorders>
              <w:top w:val="nil"/>
              <w:left w:val="nil"/>
              <w:bottom w:val="nil"/>
              <w:right w:val="nil"/>
            </w:tcBorders>
            <w:tcMar>
              <w:top w:w="0" w:type="dxa"/>
              <w:left w:w="62" w:type="dxa"/>
              <w:bottom w:w="0" w:type="dxa"/>
              <w:right w:w="62" w:type="dxa"/>
            </w:tcMar>
          </w:tcPr>
          <w:p w:rsidR="00000000" w:rsidRPr="00973F46" w:rsidP="00973F46">
            <w:pPr>
              <w:pStyle w:val="ListBullet"/>
            </w:pPr>
            <w:r w:rsidRPr="00973F46">
              <w:t>multimeters</w:t>
            </w:r>
          </w:p>
          <w:p w:rsidR="00000000" w:rsidRPr="00973F46" w:rsidP="00973F46">
            <w:pPr>
              <w:pStyle w:val="ListBullet"/>
            </w:pPr>
            <w:r w:rsidRPr="00973F46">
              <w:t>amp meters</w:t>
            </w:r>
          </w:p>
          <w:p w:rsidR="00000000" w:rsidRPr="00973F46" w:rsidP="00973F46">
            <w:pPr>
              <w:pStyle w:val="ListBullet"/>
            </w:pPr>
            <w:r w:rsidRPr="00973F46">
              <w:t>circuit testers</w:t>
            </w:r>
          </w:p>
          <w:p w:rsidR="00000000" w:rsidP="00973F46">
            <w:pPr>
              <w:pStyle w:val="BodyText"/>
              <w:rPr>
                <w:lang w:val="en-NZ"/>
              </w:rPr>
            </w:pPr>
          </w:p>
        </w:tc>
      </w:tr>
      <w:tr w:rsidTr="00973F46">
        <w:tblPrEx>
          <w:tblW w:w="0" w:type="auto"/>
          <w:tblLayout w:type="fixed"/>
          <w:tblCellMar>
            <w:left w:w="62" w:type="dxa"/>
            <w:right w:w="62" w:type="dxa"/>
          </w:tblCellMar>
          <w:tblLook w:val="0000"/>
        </w:tblPrEx>
        <w:tc>
          <w:tcPr>
            <w:tcW w:w="2684" w:type="dxa"/>
            <w:tcBorders>
              <w:top w:val="nil"/>
              <w:left w:val="nil"/>
              <w:bottom w:val="nil"/>
              <w:right w:val="nil"/>
            </w:tcBorders>
            <w:tcMar>
              <w:top w:w="0" w:type="dxa"/>
              <w:left w:w="62" w:type="dxa"/>
              <w:bottom w:w="0" w:type="dxa"/>
              <w:right w:w="62" w:type="dxa"/>
            </w:tcMar>
          </w:tcPr>
          <w:p w:rsidR="00000000" w:rsidP="00973F46">
            <w:pPr>
              <w:pStyle w:val="BodyText"/>
              <w:rPr>
                <w:lang w:val="en-NZ"/>
              </w:rPr>
            </w:pPr>
            <w:r w:rsidRPr="00973F46">
              <w:rPr>
                <w:rStyle w:val="SpecialBold"/>
              </w:rPr>
              <w:t>Wiring systems include the following:</w:t>
            </w:r>
          </w:p>
        </w:tc>
        <w:tc>
          <w:tcPr>
            <w:tcW w:w="6458" w:type="dxa"/>
            <w:tcBorders>
              <w:top w:val="nil"/>
              <w:left w:val="nil"/>
              <w:bottom w:val="nil"/>
              <w:right w:val="nil"/>
            </w:tcBorders>
            <w:tcMar>
              <w:top w:w="0" w:type="dxa"/>
              <w:left w:w="62" w:type="dxa"/>
              <w:bottom w:w="0" w:type="dxa"/>
              <w:right w:w="62" w:type="dxa"/>
            </w:tcMar>
          </w:tcPr>
          <w:p w:rsidR="00000000" w:rsidRPr="00973F46" w:rsidP="00973F46">
            <w:pPr>
              <w:pStyle w:val="ListBullet"/>
            </w:pPr>
            <w:r w:rsidRPr="00973F46">
              <w:t>wiring</w:t>
            </w:r>
          </w:p>
          <w:p w:rsidR="00000000" w:rsidRPr="00973F46" w:rsidP="00973F46">
            <w:pPr>
              <w:pStyle w:val="ListBullet"/>
            </w:pPr>
            <w:r w:rsidRPr="00973F46">
              <w:t>switching mechanisms</w:t>
            </w:r>
          </w:p>
          <w:p w:rsidR="00000000" w:rsidRPr="00973F46" w:rsidP="00973F46">
            <w:pPr>
              <w:pStyle w:val="ListBullet"/>
            </w:pPr>
            <w:r w:rsidRPr="00973F46">
              <w:t>circuit protection devices</w:t>
            </w:r>
          </w:p>
          <w:p w:rsidR="00000000" w:rsidRPr="00973F46" w:rsidP="00973F46">
            <w:pPr>
              <w:pStyle w:val="BodyText"/>
            </w:pPr>
          </w:p>
        </w:tc>
      </w:tr>
    </w:tbl>
    <w:p w:rsidR="00000000" w:rsidRPr="00973F46" w:rsidP="00973F46">
      <w:pPr>
        <w:pStyle w:val="BodyText"/>
      </w:pPr>
    </w:p>
    <w:p w:rsidR="00000000" w:rsidRPr="00973F46" w:rsidP="00973F46">
      <w:pPr>
        <w:pStyle w:val="AllowPageBreak"/>
      </w:pPr>
    </w:p>
    <w:p w:rsidR="00000000" w:rsidRPr="00973F46" w:rsidP="00973F46">
      <w:pPr>
        <w:pStyle w:val="Heading1"/>
      </w:pPr>
      <w:bookmarkStart w:id="8" w:name="O_951655"/>
      <w:bookmarkEnd w:id="8"/>
      <w:r w:rsidRPr="00973F46">
        <w:t>Unit Mapping Information</w:t>
      </w:r>
    </w:p>
    <w:p w:rsidR="00000000" w:rsidRPr="00973F46" w:rsidP="003755BE">
      <w:pPr>
        <w:pStyle w:val="BodyText"/>
      </w:pPr>
      <w:r w:rsidRPr="00973F46">
        <w:t xml:space="preserve">Release 1. Supersedes and is equivalent to MEM18030B Diagnose and rectify low voltage electrical systems </w:t>
      </w:r>
    </w:p>
    <w:p w:rsidR="00000000" w:rsidRPr="00973F46" w:rsidP="00973F46">
      <w:pPr>
        <w:pStyle w:val="Heading1"/>
      </w:pPr>
      <w:bookmarkStart w:id="9" w:name="O_951648"/>
      <w:bookmarkEnd w:id="9"/>
      <w:r w:rsidRPr="00973F46">
        <w:t>Links</w:t>
      </w:r>
    </w:p>
    <w:p w:rsidR="00000000" w:rsidRPr="00973F46" w:rsidP="003755BE">
      <w:pPr>
        <w:pStyle w:val="BodyText"/>
      </w:pPr>
      <w:r w:rsidRPr="00973F4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6195C">
        <w:rPr>
          <w:rStyle w:val="Hyperlink"/>
        </w:rPr>
        <w:t>https://vetnet.gov.au/Pages/TrainingDocs.aspx?q=b7050d37-5fd0-4740-8f7d-3b7a49c10bb2</w:t>
      </w:r>
      <w:r>
        <w:fldChar w:fldCharType="end"/>
      </w:r>
    </w:p>
    <w:p w:rsidR="00000000" w:rsidRPr="00973F46" w:rsidP="00973F46"/>
    <w:sectPr w:rsidSect="00973F4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F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F46" w:rsidRPr="003755BE" w:rsidP="003755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F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5BE" w:rsidP="00973F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55BE" w:rsidP="00973F4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755BE" w:rsidP="00973F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F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5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3F46" w:rsidRPr="003755BE" w:rsidP="003755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F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5BE" w:rsidRPr="002D2AF8" w:rsidP="00973F46">
    <w:pPr>
      <w:pStyle w:val="Header"/>
      <w:framePr w:wrap="around"/>
    </w:pPr>
    <w:r>
      <w:fldChar w:fldCharType="begin"/>
    </w:r>
    <w:r>
      <w:instrText xml:space="preserve"> TITLE   \* MERGEFORMAT </w:instrText>
    </w:r>
    <w:r>
      <w:fldChar w:fldCharType="separate"/>
    </w:r>
    <w:r>
      <w:t>MEM27006 Diagnose and rectify batteries, low voltage sensors and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755BE" w:rsidP="00973F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BC90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C4C9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F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3F46"/>
    <w:pPr>
      <w:spacing w:before="360" w:after="60"/>
      <w:outlineLvl w:val="0"/>
    </w:pPr>
    <w:rPr>
      <w:sz w:val="32"/>
    </w:rPr>
  </w:style>
  <w:style w:type="paragraph" w:styleId="Heading2">
    <w:name w:val="heading 2"/>
    <w:basedOn w:val="HeadingBase"/>
    <w:next w:val="BodyText"/>
    <w:link w:val="Heading2Char"/>
    <w:qFormat/>
    <w:rsid w:val="00973F46"/>
    <w:pPr>
      <w:keepLines/>
      <w:spacing w:before="240" w:after="120"/>
      <w:outlineLvl w:val="1"/>
    </w:pPr>
    <w:rPr>
      <w:sz w:val="28"/>
      <w:szCs w:val="40"/>
    </w:rPr>
  </w:style>
  <w:style w:type="paragraph" w:styleId="Heading3">
    <w:name w:val="heading 3"/>
    <w:basedOn w:val="HeadingBase"/>
    <w:next w:val="BodyText"/>
    <w:link w:val="Heading3Char"/>
    <w:qFormat/>
    <w:rsid w:val="00973F46"/>
    <w:pPr>
      <w:spacing w:before="180" w:after="120"/>
      <w:outlineLvl w:val="2"/>
    </w:pPr>
    <w:rPr>
      <w:spacing w:val="-10"/>
      <w:kern w:val="32"/>
    </w:rPr>
  </w:style>
  <w:style w:type="paragraph" w:styleId="Heading4">
    <w:name w:val="heading 4"/>
    <w:basedOn w:val="HeadingBase"/>
    <w:next w:val="BodyText"/>
    <w:link w:val="Heading4Char"/>
    <w:qFormat/>
    <w:rsid w:val="00973F46"/>
    <w:pPr>
      <w:spacing w:before="160" w:after="120"/>
      <w:outlineLvl w:val="3"/>
    </w:pPr>
    <w:rPr>
      <w:sz w:val="22"/>
    </w:rPr>
  </w:style>
  <w:style w:type="paragraph" w:styleId="Heading5">
    <w:name w:val="heading 5"/>
    <w:basedOn w:val="HeadingBase"/>
    <w:next w:val="Normal"/>
    <w:link w:val="Heading5Char"/>
    <w:qFormat/>
    <w:rsid w:val="00973F46"/>
    <w:pPr>
      <w:spacing w:before="80"/>
      <w:outlineLvl w:val="4"/>
    </w:pPr>
    <w:rPr>
      <w:color w:val="918585"/>
      <w:sz w:val="20"/>
    </w:rPr>
  </w:style>
  <w:style w:type="paragraph" w:styleId="Heading6">
    <w:name w:val="heading 6"/>
    <w:basedOn w:val="HeadingBase"/>
    <w:next w:val="Normal"/>
    <w:link w:val="Heading6Char"/>
    <w:qFormat/>
    <w:rsid w:val="00973F46"/>
    <w:pPr>
      <w:spacing w:before="60"/>
      <w:outlineLvl w:val="5"/>
    </w:pPr>
    <w:rPr>
      <w:color w:val="918585"/>
      <w:sz w:val="20"/>
    </w:rPr>
  </w:style>
  <w:style w:type="paragraph" w:styleId="Heading7">
    <w:name w:val="heading 7"/>
    <w:basedOn w:val="Normal"/>
    <w:next w:val="Normal"/>
    <w:link w:val="Heading7Char"/>
    <w:qFormat/>
    <w:rsid w:val="00973F46"/>
    <w:pPr>
      <w:ind w:left="720"/>
      <w:outlineLvl w:val="6"/>
    </w:pPr>
    <w:rPr>
      <w:i/>
    </w:rPr>
  </w:style>
  <w:style w:type="paragraph" w:styleId="Heading8">
    <w:name w:val="heading 8"/>
    <w:basedOn w:val="Normal"/>
    <w:next w:val="Normal"/>
    <w:link w:val="Heading8Char"/>
    <w:qFormat/>
    <w:rsid w:val="00973F46"/>
    <w:pPr>
      <w:ind w:left="720"/>
      <w:outlineLvl w:val="7"/>
    </w:pPr>
    <w:rPr>
      <w:i/>
    </w:rPr>
  </w:style>
  <w:style w:type="paragraph" w:styleId="Heading9">
    <w:name w:val="heading 9"/>
    <w:basedOn w:val="Normal"/>
    <w:next w:val="Normal"/>
    <w:link w:val="Heading9Char"/>
    <w:qFormat/>
    <w:rsid w:val="00973F46"/>
    <w:pPr>
      <w:ind w:left="720"/>
      <w:outlineLvl w:val="8"/>
    </w:pPr>
    <w:rPr>
      <w:i/>
    </w:rPr>
  </w:style>
  <w:style w:type="character" w:default="1" w:styleId="DefaultParagraphFont">
    <w:name w:val="Default Paragraph Font"/>
    <w:uiPriority w:val="1"/>
    <w:unhideWhenUsed/>
    <w:rsid w:val="00973F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3F46"/>
  </w:style>
  <w:style w:type="character" w:customStyle="1" w:styleId="Heading1Char">
    <w:name w:val="Heading 1 Char"/>
    <w:basedOn w:val="DefaultParagraphFont"/>
    <w:link w:val="Heading1"/>
    <w:rsid w:val="00973F46"/>
    <w:rPr>
      <w:rFonts w:ascii="Times New Roman" w:eastAsia="Times New Roman" w:hAnsi="Times New Roman" w:cs="Times New Roman"/>
      <w:b/>
      <w:sz w:val="32"/>
      <w:szCs w:val="20"/>
      <w:lang w:eastAsia="en-US"/>
    </w:rPr>
  </w:style>
  <w:style w:type="paragraph" w:styleId="BodyText">
    <w:name w:val="Body Text"/>
    <w:basedOn w:val="Normal"/>
    <w:link w:val="BodyTextChar"/>
    <w:rsid w:val="00973F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3F46"/>
    <w:rPr>
      <w:rFonts w:ascii="Times New Roman" w:eastAsia="Times New Roman" w:hAnsi="Times New Roman" w:cs="Times New Roman"/>
      <w:sz w:val="24"/>
      <w:lang w:eastAsia="en-US"/>
    </w:rPr>
  </w:style>
  <w:style w:type="paragraph" w:styleId="ListBullet">
    <w:name w:val="List Bullet"/>
    <w:basedOn w:val="List"/>
    <w:rsid w:val="00973F46"/>
    <w:pPr>
      <w:numPr>
        <w:numId w:val="11"/>
      </w:numPr>
      <w:tabs>
        <w:tab w:val="clear" w:pos="340"/>
      </w:tabs>
      <w:spacing w:before="40" w:after="40"/>
    </w:pPr>
  </w:style>
  <w:style w:type="character" w:customStyle="1" w:styleId="SpecialBold">
    <w:name w:val="Special Bold"/>
    <w:basedOn w:val="DefaultParagraphFont"/>
    <w:rsid w:val="00973F46"/>
    <w:rPr>
      <w:b/>
      <w:spacing w:val="0"/>
    </w:rPr>
  </w:style>
  <w:style w:type="paragraph" w:customStyle="1" w:styleId="SuperHeading">
    <w:name w:val="SuperHeading"/>
    <w:basedOn w:val="Normal"/>
    <w:rsid w:val="00973F46"/>
    <w:pPr>
      <w:spacing w:before="240" w:after="120"/>
      <w:outlineLvl w:val="0"/>
    </w:pPr>
    <w:rPr>
      <w:rFonts w:ascii="Times New Roman" w:hAnsi="Times New Roman"/>
      <w:b/>
      <w:sz w:val="32"/>
    </w:rPr>
  </w:style>
  <w:style w:type="paragraph" w:customStyle="1" w:styleId="AllowPageBreak">
    <w:name w:val="AllowPageBreak"/>
    <w:rsid w:val="00973F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3F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3F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3F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3F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3F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3F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3F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3F46"/>
    <w:rPr>
      <w:rFonts w:ascii="Courier New" w:eastAsia="Times New Roman" w:hAnsi="Courier New" w:cs="Times New Roman"/>
      <w:i/>
      <w:szCs w:val="20"/>
      <w:lang w:eastAsia="en-US"/>
    </w:rPr>
  </w:style>
  <w:style w:type="paragraph" w:customStyle="1" w:styleId="HeadingBase">
    <w:name w:val="Heading Base"/>
    <w:rsid w:val="00973F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3F46"/>
    <w:pPr>
      <w:tabs>
        <w:tab w:val="right" w:leader="dot" w:pos="9072"/>
      </w:tabs>
      <w:ind w:left="567"/>
    </w:pPr>
    <w:rPr>
      <w:szCs w:val="22"/>
    </w:rPr>
  </w:style>
  <w:style w:type="paragraph" w:customStyle="1" w:styleId="TOCBase">
    <w:name w:val="TOC Base"/>
    <w:rsid w:val="00973F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3F46"/>
    <w:pPr>
      <w:tabs>
        <w:tab w:val="right" w:leader="dot" w:pos="9072"/>
      </w:tabs>
      <w:spacing w:before="40" w:after="40"/>
      <w:ind w:left="284"/>
    </w:pPr>
    <w:rPr>
      <w:rFonts w:ascii="Times New Roman" w:hAnsi="Times New Roman"/>
    </w:rPr>
  </w:style>
  <w:style w:type="paragraph" w:styleId="TOC1">
    <w:name w:val="toc 1"/>
    <w:basedOn w:val="TOCBase"/>
    <w:next w:val="Normal"/>
    <w:rsid w:val="00973F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3F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3F46"/>
    <w:rPr>
      <w:rFonts w:ascii="Times New Roman" w:eastAsia="Times New Roman" w:hAnsi="Times New Roman" w:cs="Times New Roman"/>
      <w:sz w:val="16"/>
      <w:lang w:eastAsia="en-US"/>
    </w:rPr>
  </w:style>
  <w:style w:type="paragraph" w:styleId="Title">
    <w:name w:val="Title"/>
    <w:basedOn w:val="HeadingBase"/>
    <w:link w:val="TitleChar"/>
    <w:qFormat/>
    <w:rsid w:val="00973F46"/>
    <w:pPr>
      <w:spacing w:before="5040"/>
      <w:jc w:val="center"/>
    </w:pPr>
    <w:rPr>
      <w:sz w:val="48"/>
      <w:szCs w:val="72"/>
      <w:lang w:val="en-US"/>
    </w:rPr>
  </w:style>
  <w:style w:type="character" w:customStyle="1" w:styleId="TitleChar">
    <w:name w:val="Title Char"/>
    <w:basedOn w:val="DefaultParagraphFont"/>
    <w:link w:val="Title"/>
    <w:rsid w:val="00973F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3F46"/>
    <w:pPr>
      <w:tabs>
        <w:tab w:val="left" w:pos="3600"/>
        <w:tab w:val="left" w:pos="3958"/>
      </w:tabs>
    </w:pPr>
  </w:style>
  <w:style w:type="paragraph" w:styleId="List">
    <w:name w:val="List"/>
    <w:basedOn w:val="BodyText"/>
    <w:next w:val="BodyText"/>
    <w:rsid w:val="00973F46"/>
    <w:pPr>
      <w:tabs>
        <w:tab w:val="left" w:pos="340"/>
      </w:tabs>
      <w:spacing w:before="60" w:after="60"/>
      <w:ind w:left="340" w:hanging="340"/>
    </w:pPr>
  </w:style>
  <w:style w:type="paragraph" w:customStyle="1" w:styleId="Note">
    <w:name w:val="Note"/>
    <w:basedOn w:val="BodyText"/>
    <w:rsid w:val="00973F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3F46"/>
    <w:pPr>
      <w:framePr w:wrap="auto" w:hAnchor="text" w:y="6049"/>
    </w:pPr>
    <w:rPr>
      <w:color w:val="000000"/>
      <w:sz w:val="40"/>
    </w:rPr>
  </w:style>
  <w:style w:type="paragraph" w:customStyle="1" w:styleId="TOCTitle">
    <w:name w:val="TOCTitle"/>
    <w:basedOn w:val="Heading1"/>
    <w:rsid w:val="00973F46"/>
    <w:pPr>
      <w:spacing w:after="240"/>
      <w:jc w:val="center"/>
      <w:outlineLvl w:val="9"/>
    </w:pPr>
    <w:rPr>
      <w:caps/>
    </w:rPr>
  </w:style>
  <w:style w:type="paragraph" w:customStyle="1" w:styleId="Version">
    <w:name w:val="Version"/>
    <w:rsid w:val="00973F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3F46"/>
    <w:pPr>
      <w:numPr>
        <w:numId w:val="12"/>
      </w:numPr>
      <w:tabs>
        <w:tab w:val="clear" w:pos="680"/>
      </w:tabs>
    </w:pPr>
  </w:style>
  <w:style w:type="paragraph" w:styleId="Index1">
    <w:name w:val="index 1"/>
    <w:basedOn w:val="Normal"/>
    <w:next w:val="Normal"/>
    <w:semiHidden/>
    <w:rsid w:val="00973F46"/>
    <w:pPr>
      <w:keepNext w:val="0"/>
      <w:tabs>
        <w:tab w:val="right" w:pos="4176"/>
      </w:tabs>
      <w:ind w:left="198" w:hanging="198"/>
    </w:pPr>
    <w:rPr>
      <w:rFonts w:ascii="Garamond" w:hAnsi="Garamond"/>
    </w:rPr>
  </w:style>
  <w:style w:type="paragraph" w:styleId="IndexHeading">
    <w:name w:val="index heading"/>
    <w:basedOn w:val="Normal"/>
    <w:next w:val="Index1"/>
    <w:semiHidden/>
    <w:rsid w:val="00973F46"/>
    <w:pPr>
      <w:spacing w:before="120" w:after="120"/>
    </w:pPr>
    <w:rPr>
      <w:rFonts w:ascii="Arial" w:hAnsi="Arial"/>
      <w:b/>
      <w:color w:val="918585"/>
      <w:sz w:val="24"/>
    </w:rPr>
  </w:style>
  <w:style w:type="paragraph" w:styleId="Header">
    <w:name w:val="header"/>
    <w:basedOn w:val="Normal"/>
    <w:link w:val="HeaderChar"/>
    <w:rsid w:val="00973F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3F46"/>
    <w:rPr>
      <w:rFonts w:ascii="Times New Roman" w:eastAsia="Times New Roman" w:hAnsi="Times New Roman" w:cs="Times New Roman"/>
      <w:sz w:val="16"/>
      <w:szCs w:val="20"/>
      <w:lang w:val="en-GB" w:eastAsia="en-US"/>
    </w:rPr>
  </w:style>
  <w:style w:type="paragraph" w:customStyle="1" w:styleId="Chapter">
    <w:name w:val="Chapter"/>
    <w:basedOn w:val="Normal"/>
    <w:rsid w:val="00973F46"/>
    <w:pPr>
      <w:spacing w:before="240"/>
    </w:pPr>
    <w:rPr>
      <w:rFonts w:ascii="Times New Roman" w:hAnsi="Times New Roman"/>
      <w:smallCaps/>
      <w:spacing w:val="80"/>
      <w:sz w:val="28"/>
    </w:rPr>
  </w:style>
  <w:style w:type="paragraph" w:customStyle="1" w:styleId="InChapter">
    <w:name w:val="InChapter"/>
    <w:basedOn w:val="Heading3"/>
    <w:rsid w:val="00973F46"/>
    <w:pPr>
      <w:spacing w:after="240"/>
      <w:outlineLvl w:val="9"/>
    </w:pPr>
    <w:rPr>
      <w:noProof/>
    </w:rPr>
  </w:style>
  <w:style w:type="paragraph" w:styleId="Index2">
    <w:name w:val="index 2"/>
    <w:basedOn w:val="Normal"/>
    <w:next w:val="Normal"/>
    <w:semiHidden/>
    <w:rsid w:val="00973F46"/>
    <w:pPr>
      <w:tabs>
        <w:tab w:val="right" w:pos="4176"/>
      </w:tabs>
      <w:ind w:left="568" w:hanging="284"/>
    </w:pPr>
    <w:rPr>
      <w:rFonts w:ascii="Garamond" w:hAnsi="Garamond"/>
    </w:rPr>
  </w:style>
  <w:style w:type="paragraph" w:customStyle="1" w:styleId="Byline">
    <w:name w:val="Byline"/>
    <w:rsid w:val="00973F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3F46"/>
    <w:pPr>
      <w:tabs>
        <w:tab w:val="clear" w:pos="3600"/>
        <w:tab w:val="clear" w:pos="3958"/>
      </w:tabs>
      <w:jc w:val="right"/>
    </w:pPr>
  </w:style>
  <w:style w:type="character" w:styleId="Emphasis">
    <w:name w:val="Emphasis"/>
    <w:basedOn w:val="DefaultParagraphFont"/>
    <w:qFormat/>
    <w:rsid w:val="00973F46"/>
    <w:rPr>
      <w:i/>
    </w:rPr>
  </w:style>
  <w:style w:type="paragraph" w:styleId="Caption">
    <w:name w:val="caption"/>
    <w:basedOn w:val="BodyText"/>
    <w:next w:val="Normal"/>
    <w:qFormat/>
    <w:rsid w:val="00973F46"/>
    <w:pPr>
      <w:framePr w:w="2268" w:hSpace="181" w:vSpace="181" w:wrap="around" w:vAnchor="text" w:hAnchor="page" w:x="1135" w:y="285" w:anchorLock="1"/>
    </w:pPr>
    <w:rPr>
      <w:i/>
    </w:rPr>
  </w:style>
  <w:style w:type="paragraph" w:customStyle="1" w:styleId="MiniTOCTitle">
    <w:name w:val="MiniTOCTitle"/>
    <w:basedOn w:val="Heading4"/>
    <w:rsid w:val="00973F46"/>
    <w:pPr>
      <w:spacing w:before="240"/>
      <w:outlineLvl w:val="9"/>
    </w:pPr>
    <w:rPr>
      <w:noProof/>
      <w:sz w:val="24"/>
    </w:rPr>
  </w:style>
  <w:style w:type="paragraph" w:customStyle="1" w:styleId="MiniTOCItem">
    <w:name w:val="MiniTOCItem"/>
    <w:basedOn w:val="ListBullet"/>
    <w:rsid w:val="00973F46"/>
    <w:pPr>
      <w:numPr>
        <w:numId w:val="0"/>
      </w:numPr>
      <w:tabs>
        <w:tab w:val="right" w:leader="dot" w:pos="6521"/>
      </w:tabs>
      <w:spacing w:before="0" w:after="0"/>
    </w:pPr>
  </w:style>
  <w:style w:type="paragraph" w:customStyle="1" w:styleId="TOFTitle">
    <w:name w:val="TOFTitle"/>
    <w:basedOn w:val="TOCTitle"/>
    <w:rsid w:val="00973F46"/>
  </w:style>
  <w:style w:type="paragraph" w:styleId="TableofFigures">
    <w:name w:val="table of figures"/>
    <w:basedOn w:val="Normal"/>
    <w:next w:val="Normal"/>
    <w:semiHidden/>
    <w:rsid w:val="00973F46"/>
    <w:pPr>
      <w:tabs>
        <w:tab w:val="right" w:leader="dot" w:pos="9072"/>
      </w:tabs>
      <w:ind w:left="970" w:hanging="403"/>
    </w:pPr>
    <w:rPr>
      <w:rFonts w:ascii="Times New Roman" w:hAnsi="Times New Roman"/>
      <w:b/>
    </w:rPr>
  </w:style>
  <w:style w:type="paragraph" w:styleId="ListNumber">
    <w:name w:val="List Number"/>
    <w:basedOn w:val="List"/>
    <w:rsid w:val="00973F46"/>
    <w:pPr>
      <w:numPr>
        <w:numId w:val="14"/>
      </w:numPr>
      <w:tabs>
        <w:tab w:val="clear" w:pos="340"/>
      </w:tabs>
    </w:pPr>
  </w:style>
  <w:style w:type="character" w:customStyle="1" w:styleId="WingdingSymbols">
    <w:name w:val="Wingding Symbols"/>
    <w:rsid w:val="00973F46"/>
    <w:rPr>
      <w:rFonts w:ascii="Wingdings" w:hAnsi="Wingdings"/>
    </w:rPr>
  </w:style>
  <w:style w:type="paragraph" w:customStyle="1" w:styleId="TableHeading">
    <w:name w:val="Table Heading"/>
    <w:basedOn w:val="HeadingBase"/>
    <w:rsid w:val="00973F46"/>
    <w:pPr>
      <w:keepLines/>
      <w:pBdr>
        <w:bottom w:val="single" w:sz="6" w:space="1" w:color="918585"/>
      </w:pBdr>
      <w:spacing w:before="240"/>
    </w:pPr>
  </w:style>
  <w:style w:type="character" w:customStyle="1" w:styleId="HotSpot">
    <w:name w:val="HotSpot"/>
    <w:rsid w:val="00973F46"/>
    <w:rPr>
      <w:color w:val="0033CC"/>
      <w:u w:val="none"/>
    </w:rPr>
  </w:style>
  <w:style w:type="paragraph" w:customStyle="1" w:styleId="BodyTextRight">
    <w:name w:val="Body Text Right"/>
    <w:basedOn w:val="BodyText"/>
    <w:rsid w:val="00973F46"/>
    <w:pPr>
      <w:spacing w:before="0" w:after="0"/>
      <w:jc w:val="right"/>
    </w:pPr>
  </w:style>
  <w:style w:type="paragraph" w:styleId="Index3">
    <w:name w:val="index 3"/>
    <w:basedOn w:val="ListNumber2"/>
    <w:next w:val="Normal"/>
    <w:semiHidden/>
    <w:rsid w:val="00973F46"/>
    <w:pPr>
      <w:numPr>
        <w:numId w:val="0"/>
      </w:numPr>
      <w:tabs>
        <w:tab w:val="right" w:leader="dot" w:pos="4176"/>
      </w:tabs>
    </w:pPr>
  </w:style>
  <w:style w:type="paragraph" w:styleId="ListNumber2">
    <w:name w:val="List Number 2"/>
    <w:basedOn w:val="List2"/>
    <w:rsid w:val="00973F46"/>
    <w:pPr>
      <w:numPr>
        <w:numId w:val="9"/>
      </w:numPr>
      <w:tabs>
        <w:tab w:val="clear" w:pos="1060"/>
      </w:tabs>
    </w:pPr>
  </w:style>
  <w:style w:type="paragraph" w:customStyle="1" w:styleId="MarginNote">
    <w:name w:val="Margin Note"/>
    <w:basedOn w:val="BodyText"/>
    <w:rsid w:val="00973F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3F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3F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3F46"/>
    <w:rPr>
      <w:sz w:val="32"/>
    </w:rPr>
  </w:style>
  <w:style w:type="paragraph" w:customStyle="1" w:styleId="HeadingProcedure">
    <w:name w:val="Heading Procedure"/>
    <w:basedOn w:val="HeadingBase"/>
    <w:next w:val="Normal"/>
    <w:rsid w:val="00973F46"/>
    <w:pPr>
      <w:tabs>
        <w:tab w:val="left" w:pos="0"/>
      </w:tabs>
      <w:spacing w:before="120" w:after="60"/>
    </w:pPr>
    <w:rPr>
      <w:i/>
      <w:color w:val="918585"/>
      <w:sz w:val="22"/>
    </w:rPr>
  </w:style>
  <w:style w:type="paragraph" w:customStyle="1" w:styleId="TableBodyText">
    <w:name w:val="Table Body Text"/>
    <w:basedOn w:val="BodyText"/>
    <w:rsid w:val="00973F46"/>
    <w:pPr>
      <w:spacing w:before="60" w:after="60"/>
    </w:pPr>
  </w:style>
  <w:style w:type="paragraph" w:styleId="ListContinue">
    <w:name w:val="List Continue"/>
    <w:basedOn w:val="List"/>
    <w:rsid w:val="00973F46"/>
    <w:pPr>
      <w:ind w:firstLine="0"/>
    </w:pPr>
  </w:style>
  <w:style w:type="paragraph" w:customStyle="1" w:styleId="ListNote">
    <w:name w:val="List Note"/>
    <w:basedOn w:val="List"/>
    <w:rsid w:val="00973F46"/>
    <w:pPr>
      <w:pBdr>
        <w:top w:val="single" w:sz="6" w:space="2" w:color="918585"/>
        <w:bottom w:val="single" w:sz="6" w:space="2" w:color="918585"/>
      </w:pBdr>
      <w:tabs>
        <w:tab w:val="left" w:pos="1021"/>
      </w:tabs>
      <w:ind w:firstLine="0"/>
    </w:pPr>
  </w:style>
  <w:style w:type="paragraph" w:customStyle="1" w:styleId="Warning">
    <w:name w:val="Warning"/>
    <w:basedOn w:val="BodyText"/>
    <w:rsid w:val="00973F46"/>
    <w:pPr>
      <w:shd w:val="clear" w:color="auto" w:fill="D9D9D9"/>
      <w:tabs>
        <w:tab w:val="left" w:pos="992"/>
      </w:tabs>
      <w:ind w:left="119" w:right="119"/>
    </w:pPr>
    <w:rPr>
      <w:sz w:val="20"/>
    </w:rPr>
  </w:style>
  <w:style w:type="paragraph" w:customStyle="1" w:styleId="MarginIcons">
    <w:name w:val="Margin Icons"/>
    <w:basedOn w:val="BodyText"/>
    <w:rsid w:val="00973F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3F46"/>
    <w:rPr>
      <w:rFonts w:ascii="Courier New" w:hAnsi="Courier New"/>
    </w:rPr>
  </w:style>
  <w:style w:type="paragraph" w:customStyle="1" w:styleId="NoteBullet">
    <w:name w:val="Note Bullet"/>
    <w:basedOn w:val="Note"/>
    <w:rsid w:val="00973F46"/>
    <w:pPr>
      <w:tabs>
        <w:tab w:val="clear" w:pos="680"/>
      </w:tabs>
      <w:spacing w:before="60" w:after="60"/>
    </w:pPr>
  </w:style>
  <w:style w:type="paragraph" w:customStyle="1" w:styleId="SubHeading2">
    <w:name w:val="SubHeading2"/>
    <w:basedOn w:val="HeadingBase"/>
    <w:rsid w:val="00973F46"/>
    <w:pPr>
      <w:spacing w:before="240" w:after="60"/>
    </w:pPr>
    <w:rPr>
      <w:sz w:val="20"/>
    </w:rPr>
  </w:style>
  <w:style w:type="paragraph" w:customStyle="1" w:styleId="SubHeading1">
    <w:name w:val="SubHeading1"/>
    <w:basedOn w:val="HeadingBase"/>
    <w:rsid w:val="00973F46"/>
    <w:pPr>
      <w:spacing w:before="240" w:after="60"/>
    </w:pPr>
    <w:rPr>
      <w:color w:val="918585"/>
      <w:sz w:val="22"/>
    </w:rPr>
  </w:style>
  <w:style w:type="paragraph" w:customStyle="1" w:styleId="SideHeading">
    <w:name w:val="Side Heading"/>
    <w:basedOn w:val="HeadingBase"/>
    <w:rsid w:val="00973F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3F46"/>
    <w:pPr>
      <w:numPr>
        <w:numId w:val="10"/>
      </w:numPr>
    </w:pPr>
  </w:style>
  <w:style w:type="paragraph" w:styleId="PlainText">
    <w:name w:val="Plain Text"/>
    <w:basedOn w:val="Normal"/>
    <w:link w:val="PlainTextChar"/>
    <w:rsid w:val="00973F46"/>
    <w:rPr>
      <w:sz w:val="20"/>
    </w:rPr>
  </w:style>
  <w:style w:type="character" w:customStyle="1" w:styleId="PlainTextChar">
    <w:name w:val="Plain Text Char"/>
    <w:basedOn w:val="DefaultParagraphFont"/>
    <w:link w:val="PlainText"/>
    <w:rsid w:val="00973F46"/>
    <w:rPr>
      <w:rFonts w:ascii="Courier New" w:eastAsia="Times New Roman" w:hAnsi="Courier New" w:cs="Times New Roman"/>
      <w:sz w:val="20"/>
      <w:szCs w:val="20"/>
      <w:lang w:eastAsia="en-US"/>
    </w:rPr>
  </w:style>
  <w:style w:type="character" w:customStyle="1" w:styleId="MenuOption">
    <w:name w:val="Menu Option"/>
    <w:basedOn w:val="DefaultParagraphFont"/>
    <w:rsid w:val="00973F46"/>
    <w:rPr>
      <w:b/>
      <w:smallCaps/>
    </w:rPr>
  </w:style>
  <w:style w:type="paragraph" w:customStyle="1" w:styleId="TableListNumber">
    <w:name w:val="Table List Number"/>
    <w:basedOn w:val="ListNumber"/>
    <w:rsid w:val="00973F46"/>
    <w:pPr>
      <w:numPr>
        <w:numId w:val="0"/>
      </w:numPr>
    </w:pPr>
  </w:style>
  <w:style w:type="paragraph" w:styleId="TOC4">
    <w:name w:val="toc 4"/>
    <w:basedOn w:val="TOCBase"/>
    <w:next w:val="Normal"/>
    <w:semiHidden/>
    <w:rsid w:val="00973F46"/>
    <w:pPr>
      <w:tabs>
        <w:tab w:val="right" w:leader="dot" w:pos="9071"/>
      </w:tabs>
      <w:ind w:left="1701"/>
    </w:pPr>
  </w:style>
  <w:style w:type="paragraph" w:customStyle="1" w:styleId="ListAlpha">
    <w:name w:val="List Alpha"/>
    <w:basedOn w:val="List"/>
    <w:rsid w:val="00973F46"/>
    <w:pPr>
      <w:numPr>
        <w:numId w:val="8"/>
      </w:numPr>
    </w:pPr>
  </w:style>
  <w:style w:type="paragraph" w:customStyle="1" w:styleId="ListAlpha2">
    <w:name w:val="List Alpha 2"/>
    <w:basedOn w:val="List2"/>
    <w:rsid w:val="00973F46"/>
    <w:pPr>
      <w:numPr>
        <w:numId w:val="7"/>
      </w:numPr>
    </w:pPr>
  </w:style>
  <w:style w:type="paragraph" w:styleId="List2">
    <w:name w:val="List 2"/>
    <w:basedOn w:val="BodyText"/>
    <w:rsid w:val="00973F46"/>
    <w:pPr>
      <w:tabs>
        <w:tab w:val="left" w:pos="680"/>
      </w:tabs>
      <w:spacing w:before="60" w:after="60"/>
      <w:ind w:left="680" w:hanging="340"/>
    </w:pPr>
  </w:style>
  <w:style w:type="paragraph" w:styleId="List3">
    <w:name w:val="List 3"/>
    <w:basedOn w:val="BodyText"/>
    <w:rsid w:val="00973F46"/>
    <w:pPr>
      <w:tabs>
        <w:tab w:val="left" w:pos="1021"/>
      </w:tabs>
      <w:spacing w:before="60" w:after="60"/>
      <w:ind w:left="1020" w:hanging="340"/>
    </w:pPr>
  </w:style>
  <w:style w:type="paragraph" w:styleId="List4">
    <w:name w:val="List 4"/>
    <w:basedOn w:val="BodyText"/>
    <w:rsid w:val="00973F46"/>
    <w:pPr>
      <w:tabs>
        <w:tab w:val="left" w:pos="1361"/>
      </w:tabs>
      <w:spacing w:before="60" w:after="60"/>
      <w:ind w:left="1361" w:hanging="340"/>
    </w:pPr>
  </w:style>
  <w:style w:type="paragraph" w:styleId="List5">
    <w:name w:val="List 5"/>
    <w:basedOn w:val="BodyText"/>
    <w:rsid w:val="00973F46"/>
    <w:pPr>
      <w:tabs>
        <w:tab w:val="left" w:pos="1701"/>
      </w:tabs>
      <w:spacing w:before="60" w:after="60"/>
      <w:ind w:left="1701" w:hanging="340"/>
    </w:pPr>
  </w:style>
  <w:style w:type="paragraph" w:styleId="ListBullet3">
    <w:name w:val="List Bullet 3"/>
    <w:basedOn w:val="List3"/>
    <w:rsid w:val="00973F46"/>
    <w:pPr>
      <w:numPr>
        <w:numId w:val="13"/>
      </w:numPr>
      <w:tabs>
        <w:tab w:val="clear" w:pos="1021"/>
      </w:tabs>
      <w:ind w:left="1037" w:hanging="357"/>
    </w:pPr>
  </w:style>
  <w:style w:type="paragraph" w:styleId="ListBullet4">
    <w:name w:val="List Bullet 4"/>
    <w:basedOn w:val="List4"/>
    <w:rsid w:val="00973F46"/>
    <w:pPr>
      <w:numPr>
        <w:numId w:val="2"/>
      </w:numPr>
      <w:tabs>
        <w:tab w:val="clear" w:pos="1361"/>
      </w:tabs>
    </w:pPr>
  </w:style>
  <w:style w:type="paragraph" w:styleId="ListBullet5">
    <w:name w:val="List Bullet 5"/>
    <w:basedOn w:val="List5"/>
    <w:rsid w:val="00973F46"/>
    <w:pPr>
      <w:numPr>
        <w:numId w:val="3"/>
      </w:numPr>
    </w:pPr>
  </w:style>
  <w:style w:type="paragraph" w:styleId="ListContinue2">
    <w:name w:val="List Continue 2"/>
    <w:basedOn w:val="List2"/>
    <w:rsid w:val="00973F46"/>
    <w:pPr>
      <w:ind w:firstLine="0"/>
    </w:pPr>
  </w:style>
  <w:style w:type="paragraph" w:styleId="ListContinue3">
    <w:name w:val="List Continue 3"/>
    <w:basedOn w:val="List3"/>
    <w:rsid w:val="00973F46"/>
    <w:pPr>
      <w:ind w:left="1021" w:firstLine="0"/>
    </w:pPr>
  </w:style>
  <w:style w:type="paragraph" w:styleId="ListContinue4">
    <w:name w:val="List Continue 4"/>
    <w:basedOn w:val="List4"/>
    <w:rsid w:val="00973F46"/>
    <w:pPr>
      <w:ind w:firstLine="0"/>
    </w:pPr>
  </w:style>
  <w:style w:type="paragraph" w:styleId="ListContinue5">
    <w:name w:val="List Continue 5"/>
    <w:basedOn w:val="List5"/>
    <w:rsid w:val="00973F46"/>
    <w:pPr>
      <w:ind w:firstLine="0"/>
    </w:pPr>
  </w:style>
  <w:style w:type="paragraph" w:styleId="ListNumber3">
    <w:name w:val="List Number 3"/>
    <w:basedOn w:val="List3"/>
    <w:rsid w:val="00973F46"/>
    <w:pPr>
      <w:numPr>
        <w:numId w:val="4"/>
      </w:numPr>
    </w:pPr>
  </w:style>
  <w:style w:type="paragraph" w:styleId="ListNumber4">
    <w:name w:val="List Number 4"/>
    <w:basedOn w:val="List4"/>
    <w:rsid w:val="00973F46"/>
    <w:pPr>
      <w:numPr>
        <w:numId w:val="5"/>
      </w:numPr>
    </w:pPr>
  </w:style>
  <w:style w:type="paragraph" w:styleId="ListNumber5">
    <w:name w:val="List Number 5"/>
    <w:basedOn w:val="List5"/>
    <w:rsid w:val="00973F46"/>
    <w:pPr>
      <w:numPr>
        <w:numId w:val="6"/>
      </w:numPr>
    </w:pPr>
  </w:style>
  <w:style w:type="paragraph" w:styleId="BlockText">
    <w:name w:val="Block Text"/>
    <w:basedOn w:val="Normal"/>
    <w:rsid w:val="00973F46"/>
    <w:pPr>
      <w:spacing w:after="120"/>
      <w:ind w:left="1440" w:right="1440"/>
    </w:pPr>
  </w:style>
  <w:style w:type="character" w:customStyle="1" w:styleId="Subscript">
    <w:name w:val="Subscript"/>
    <w:basedOn w:val="DefaultParagraphFont"/>
    <w:rsid w:val="00973F46"/>
    <w:rPr>
      <w:sz w:val="16"/>
      <w:vertAlign w:val="subscript"/>
    </w:rPr>
  </w:style>
  <w:style w:type="character" w:customStyle="1" w:styleId="Superscript">
    <w:name w:val="Superscript"/>
    <w:basedOn w:val="DefaultParagraphFont"/>
    <w:rsid w:val="00973F46"/>
    <w:rPr>
      <w:sz w:val="16"/>
      <w:vertAlign w:val="superscript"/>
    </w:rPr>
  </w:style>
  <w:style w:type="character" w:customStyle="1" w:styleId="Symbols">
    <w:name w:val="Symbols"/>
    <w:basedOn w:val="DefaultParagraphFont"/>
    <w:rsid w:val="00973F46"/>
    <w:rPr>
      <w:rFonts w:ascii="Symbol" w:hAnsi="Symbol"/>
    </w:rPr>
  </w:style>
  <w:style w:type="character" w:customStyle="1" w:styleId="MenuOptions">
    <w:name w:val="Menu Options"/>
    <w:basedOn w:val="DefaultParagraphFont"/>
    <w:rsid w:val="00973F46"/>
    <w:rPr>
      <w:rFonts w:ascii="Arial Narrow" w:hAnsi="Arial Narrow"/>
      <w:smallCaps/>
    </w:rPr>
  </w:style>
  <w:style w:type="character" w:customStyle="1" w:styleId="Buttons">
    <w:name w:val="Buttons"/>
    <w:basedOn w:val="DefaultParagraphFont"/>
    <w:rsid w:val="00973F46"/>
    <w:rPr>
      <w:b/>
    </w:rPr>
  </w:style>
  <w:style w:type="character" w:customStyle="1" w:styleId="Underlined">
    <w:name w:val="Underlined"/>
    <w:basedOn w:val="DefaultParagraphFont"/>
    <w:rsid w:val="00973F46"/>
    <w:rPr>
      <w:u w:val="single"/>
    </w:rPr>
  </w:style>
  <w:style w:type="paragraph" w:customStyle="1" w:styleId="TableBodyTextRight">
    <w:name w:val="Table Body Text Right"/>
    <w:basedOn w:val="TableBodyText"/>
    <w:rsid w:val="00973F46"/>
    <w:pPr>
      <w:widowControl w:val="0"/>
      <w:autoSpaceDE w:val="0"/>
      <w:autoSpaceDN w:val="0"/>
      <w:adjustRightInd w:val="0"/>
      <w:jc w:val="right"/>
    </w:pPr>
    <w:rPr>
      <w:rFonts w:cs="Arial"/>
      <w:szCs w:val="18"/>
    </w:rPr>
  </w:style>
  <w:style w:type="paragraph" w:customStyle="1" w:styleId="CopyrightText">
    <w:name w:val="Copyright Text"/>
    <w:basedOn w:val="BodyText"/>
    <w:rsid w:val="00973F46"/>
    <w:rPr>
      <w:sz w:val="18"/>
    </w:rPr>
  </w:style>
  <w:style w:type="paragraph" w:customStyle="1" w:styleId="BodySmallRight">
    <w:name w:val="Body Small Right"/>
    <w:basedOn w:val="BodyTextRight"/>
    <w:rsid w:val="00973F46"/>
    <w:rPr>
      <w:sz w:val="18"/>
      <w:szCs w:val="18"/>
    </w:rPr>
  </w:style>
  <w:style w:type="paragraph" w:customStyle="1" w:styleId="MarginEdition">
    <w:name w:val="Margin Edition"/>
    <w:basedOn w:val="MarginNote"/>
    <w:rsid w:val="00973F46"/>
    <w:pPr>
      <w:spacing w:before="0" w:after="0"/>
    </w:pPr>
    <w:rPr>
      <w:rFonts w:ascii="Times New Roman" w:hAnsi="Times New Roman"/>
      <w:color w:val="999999"/>
    </w:rPr>
  </w:style>
  <w:style w:type="paragraph" w:customStyle="1" w:styleId="Spacer">
    <w:name w:val="Spacer"/>
    <w:basedOn w:val="Normal"/>
    <w:rsid w:val="00973F46"/>
    <w:rPr>
      <w:sz w:val="2"/>
      <w:szCs w:val="2"/>
    </w:rPr>
  </w:style>
  <w:style w:type="character" w:customStyle="1" w:styleId="Small">
    <w:name w:val="Small"/>
    <w:basedOn w:val="DefaultParagraphFont"/>
    <w:rsid w:val="00973F46"/>
    <w:rPr>
      <w:sz w:val="16"/>
    </w:rPr>
  </w:style>
  <w:style w:type="paragraph" w:customStyle="1" w:styleId="WideTable">
    <w:name w:val="Wide Table"/>
    <w:basedOn w:val="Normal"/>
    <w:rsid w:val="00973F46"/>
    <w:pPr>
      <w:ind w:left="-1418"/>
    </w:pPr>
    <w:rPr>
      <w:sz w:val="2"/>
      <w:szCs w:val="2"/>
    </w:rPr>
  </w:style>
  <w:style w:type="character" w:styleId="PageNumber">
    <w:name w:val="page number"/>
    <w:basedOn w:val="DefaultParagraphFont"/>
    <w:rsid w:val="00973F46"/>
  </w:style>
  <w:style w:type="paragraph" w:styleId="Quote">
    <w:name w:val="Quote"/>
    <w:basedOn w:val="Heading1"/>
    <w:link w:val="QuoteChar"/>
    <w:qFormat/>
    <w:rsid w:val="00973F46"/>
    <w:rPr>
      <w:b w:val="0"/>
      <w:sz w:val="72"/>
      <w:szCs w:val="72"/>
      <w:lang w:val="en-NZ"/>
    </w:rPr>
  </w:style>
  <w:style w:type="character" w:customStyle="1" w:styleId="QuoteChar">
    <w:name w:val="Quote Char"/>
    <w:basedOn w:val="DefaultParagraphFont"/>
    <w:link w:val="Quote"/>
    <w:rsid w:val="00973F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3F46"/>
    <w:pPr>
      <w:pageBreakBefore/>
    </w:pPr>
  </w:style>
  <w:style w:type="paragraph" w:customStyle="1" w:styleId="Border">
    <w:name w:val="Border"/>
    <w:basedOn w:val="Normal"/>
    <w:qFormat/>
    <w:rsid w:val="00973F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3F46"/>
    <w:rPr>
      <w:b/>
      <w:bCs/>
      <w:i/>
      <w:iCs/>
      <w:color w:val="auto"/>
    </w:rPr>
  </w:style>
  <w:style w:type="paragraph" w:styleId="IntenseQuote">
    <w:name w:val="Intense Quote"/>
    <w:basedOn w:val="Normal"/>
    <w:next w:val="Normal"/>
    <w:link w:val="IntenseQuoteChar"/>
    <w:uiPriority w:val="30"/>
    <w:qFormat/>
    <w:rsid w:val="00973F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3F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3F46"/>
    <w:rPr>
      <w:smallCaps/>
      <w:color w:val="auto"/>
      <w:u w:val="single"/>
    </w:rPr>
  </w:style>
  <w:style w:type="character" w:styleId="IntenseReference">
    <w:name w:val="Intense Reference"/>
    <w:basedOn w:val="DefaultParagraphFont"/>
    <w:uiPriority w:val="32"/>
    <w:qFormat/>
    <w:rsid w:val="00973F46"/>
    <w:rPr>
      <w:b/>
      <w:bCs/>
      <w:smallCaps/>
      <w:color w:val="auto"/>
      <w:spacing w:val="5"/>
      <w:u w:val="single"/>
    </w:rPr>
  </w:style>
  <w:style w:type="paragraph" w:customStyle="1" w:styleId="2ColumnHeading">
    <w:name w:val="2Column Heading"/>
    <w:basedOn w:val="BodyText"/>
    <w:qFormat/>
    <w:rsid w:val="00973F46"/>
    <w:pPr>
      <w:spacing w:after="60"/>
      <w:ind w:left="-2268"/>
    </w:pPr>
    <w:rPr>
      <w:b/>
    </w:rPr>
  </w:style>
  <w:style w:type="paragraph" w:customStyle="1" w:styleId="Heading1TOC">
    <w:name w:val="Heading1 TOC"/>
    <w:basedOn w:val="Normal"/>
    <w:qFormat/>
    <w:rsid w:val="00973F46"/>
    <w:pPr>
      <w:spacing w:before="240" w:after="120"/>
    </w:pPr>
    <w:rPr>
      <w:rFonts w:ascii="Times New Roman" w:hAnsi="Times New Roman"/>
      <w:b/>
      <w:sz w:val="32"/>
    </w:rPr>
  </w:style>
  <w:style w:type="paragraph" w:customStyle="1" w:styleId="Heading2TOC">
    <w:name w:val="Heading2 TOC"/>
    <w:basedOn w:val="Normal"/>
    <w:qFormat/>
    <w:rsid w:val="00973F46"/>
    <w:pPr>
      <w:spacing w:before="240" w:after="60"/>
    </w:pPr>
    <w:rPr>
      <w:rFonts w:ascii="Times New Roman" w:hAnsi="Times New Roman"/>
      <w:b/>
      <w:sz w:val="28"/>
    </w:rPr>
  </w:style>
  <w:style w:type="character" w:customStyle="1" w:styleId="Underline">
    <w:name w:val="Underline"/>
    <w:basedOn w:val="DefaultParagraphFont"/>
    <w:qFormat/>
    <w:rsid w:val="00973F46"/>
    <w:rPr>
      <w:u w:val="single"/>
    </w:rPr>
  </w:style>
  <w:style w:type="character" w:customStyle="1" w:styleId="BoldandItalics">
    <w:name w:val="Bold and Italics"/>
    <w:qFormat/>
    <w:rsid w:val="00973F46"/>
    <w:rPr>
      <w:b/>
      <w:i/>
      <w:u w:val="none"/>
    </w:rPr>
  </w:style>
  <w:style w:type="paragraph" w:styleId="BalloonText">
    <w:name w:val="Balloon Text"/>
    <w:basedOn w:val="Normal"/>
    <w:link w:val="BalloonTextChar"/>
    <w:rsid w:val="00973F46"/>
    <w:rPr>
      <w:rFonts w:ascii="Tahoma" w:hAnsi="Tahoma" w:cs="Tahoma"/>
      <w:sz w:val="16"/>
      <w:szCs w:val="16"/>
    </w:rPr>
  </w:style>
  <w:style w:type="character" w:customStyle="1" w:styleId="BalloonTextChar">
    <w:name w:val="Balloon Text Char"/>
    <w:basedOn w:val="DefaultParagraphFont"/>
    <w:link w:val="BalloonText"/>
    <w:rsid w:val="00973F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3F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3F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3F46"/>
    <w:rPr>
      <w:b/>
      <w:color w:val="660033"/>
      <w:spacing w:val="0"/>
    </w:rPr>
  </w:style>
  <w:style w:type="paragraph" w:customStyle="1" w:styleId="Nameditemlist">
    <w:name w:val="Named item list"/>
    <w:basedOn w:val="BodyText"/>
    <w:qFormat/>
    <w:rsid w:val="00973F46"/>
    <w:pPr>
      <w:tabs>
        <w:tab w:val="left" w:pos="2835"/>
      </w:tabs>
      <w:ind w:left="2835" w:hanging="2835"/>
    </w:pPr>
  </w:style>
  <w:style w:type="paragraph" w:customStyle="1" w:styleId="BodyTextnopadding">
    <w:name w:val="Body Text no padding"/>
    <w:basedOn w:val="BodyText"/>
    <w:qFormat/>
    <w:rsid w:val="00973F46"/>
    <w:pPr>
      <w:spacing w:before="0" w:after="0"/>
    </w:pPr>
  </w:style>
  <w:style w:type="paragraph" w:customStyle="1" w:styleId="BodyTextBold">
    <w:name w:val="Body Text Bold"/>
    <w:basedOn w:val="BodyText"/>
    <w:qFormat/>
    <w:rsid w:val="00973F46"/>
    <w:rPr>
      <w:b/>
    </w:rPr>
  </w:style>
  <w:style w:type="character" w:styleId="Hyperlink">
    <w:name w:val="Hyperlink"/>
    <w:basedOn w:val="DefaultParagraphFont"/>
    <w:uiPriority w:val="99"/>
    <w:unhideWhenUsed/>
    <w:rsid w:val="003755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701</Words>
  <Characters>4442</Characters>
  <Application>Microsoft Office Word</Application>
  <DocSecurity>0</DocSecurity>
  <Lines>246</Lines>
  <Paragraphs>138</Paragraphs>
  <ScaleCrop>false</ScaleCrop>
  <Company>Author-it Software Corporation Ltd.</Company>
  <LinksUpToDate>false</LinksUpToDate>
  <CharactersWithSpaces>5005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MEM27006 Diagnose and rectify batteries, low voltage sensors and circuits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2023-02-03T06:55:00Z</dcterms:created>
  <dcterms:modified xsi:type="dcterms:W3CDTF">2023-02-03T06:55:00Z</dcterms:modified>
</cp:coreProperties>
</file>