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BE8" w:rsidP="00E87B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MEM27005 Tune diesel engines</w:t>
      </w:r>
      <w:r>
        <w:fldChar w:fldCharType="end"/>
      </w:r>
    </w:p>
    <w:p w:rsidR="00E87BE8" w:rsidP="00E87BE8">
      <w:pPr>
        <w:pStyle w:val="Version"/>
        <w:sectPr w:rsidSect="00DA17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17A5" w:rsidP="00DA17A5">
      <w:pPr>
        <w:pStyle w:val="SuperHeading"/>
      </w:pPr>
      <w:r w:rsidRPr="00DA17A5">
        <w:t>MEM27005 Tune diesel engines</w:t>
      </w:r>
    </w:p>
    <w:p w:rsidR="00000000" w:rsidRPr="00DA17A5" w:rsidP="00DA17A5">
      <w:pPr>
        <w:pStyle w:val="Heading1"/>
      </w:pPr>
      <w:bookmarkStart w:id="1" w:name="O_951635"/>
      <w:bookmarkEnd w:id="1"/>
      <w:r w:rsidRPr="00DA17A5">
        <w:t>Modification History</w:t>
      </w:r>
    </w:p>
    <w:p w:rsidR="00000000" w:rsidRPr="00DA17A5" w:rsidP="00E87BE8">
      <w:pPr>
        <w:pStyle w:val="BodyText"/>
      </w:pPr>
      <w:r w:rsidRPr="00DA17A5">
        <w:t xml:space="preserve">Release 1. Supersedes and is equivalent to MEM18029B Tune diesel engines </w:t>
      </w:r>
    </w:p>
    <w:p w:rsidR="00000000" w:rsidRPr="00DA17A5" w:rsidP="00DA17A5">
      <w:pPr>
        <w:pStyle w:val="Heading1"/>
      </w:pPr>
      <w:bookmarkStart w:id="2" w:name="O_951643"/>
      <w:bookmarkEnd w:id="2"/>
      <w:r w:rsidRPr="00DA17A5">
        <w:t>Application</w:t>
      </w:r>
    </w:p>
    <w:p w:rsidR="00000000" w:rsidRPr="00DA17A5" w:rsidP="00E87BE8">
      <w:pPr>
        <w:pStyle w:val="BodyText"/>
      </w:pPr>
      <w:r w:rsidRPr="00DA17A5">
        <w:t>This unit of competency defines the skills and knowledge required to compression test and tune up the engine.</w:t>
      </w:r>
    </w:p>
    <w:p w:rsidR="00000000" w:rsidRPr="00DA17A5" w:rsidP="00E87BE8">
      <w:pPr>
        <w:pStyle w:val="BodyText"/>
      </w:pPr>
      <w:r w:rsidRPr="00DA17A5">
        <w:t>It applies to tune up</w:t>
      </w:r>
      <w:r w:rsidRPr="00DA17A5">
        <w:t xml:space="preserve"> procedures and evaluation of engine performance on compression ignition engines.</w:t>
      </w:r>
    </w:p>
    <w:p w:rsidR="00000000" w:rsidRPr="00DA17A5" w:rsidP="00E87BE8">
      <w:pPr>
        <w:pStyle w:val="BodyText"/>
      </w:pPr>
      <w:r w:rsidRPr="00DA17A5">
        <w:t>No licensing, legislative or certification requirements apply to this unit at the time of publication.</w:t>
      </w:r>
    </w:p>
    <w:p w:rsidR="00000000" w:rsidRPr="00DA17A5" w:rsidP="00DA17A5">
      <w:pPr>
        <w:pStyle w:val="BodyText"/>
      </w:pPr>
      <w:r w:rsidRPr="00DA17A5">
        <w:rPr>
          <w:rStyle w:val="SpecialBold"/>
        </w:rPr>
        <w:t>Band</w:t>
      </w:r>
      <w:r w:rsidRPr="00DA17A5">
        <w:t>:</w:t>
      </w:r>
      <w:r w:rsidRPr="00DA17A5">
        <w:tab/>
      </w:r>
      <w:r w:rsidRPr="00DA17A5">
        <w:rPr>
          <w:rStyle w:val="SpecialBold"/>
        </w:rPr>
        <w:t>A</w:t>
      </w:r>
    </w:p>
    <w:p w:rsidR="00000000" w:rsidRPr="00DA17A5" w:rsidP="00DA17A5">
      <w:pPr>
        <w:pStyle w:val="BodyText"/>
      </w:pPr>
      <w:r w:rsidRPr="00DA17A5">
        <w:rPr>
          <w:rStyle w:val="SpecialBold"/>
        </w:rPr>
        <w:t>Unit Weight</w:t>
      </w:r>
      <w:r w:rsidRPr="00DA17A5">
        <w:t>:</w:t>
      </w:r>
      <w:r w:rsidRPr="00DA17A5">
        <w:tab/>
      </w:r>
      <w:r w:rsidRPr="00DA17A5">
        <w:rPr>
          <w:rStyle w:val="SpecialBold"/>
        </w:rPr>
        <w:t>4</w:t>
      </w:r>
    </w:p>
    <w:p w:rsidR="00000000" w:rsidRPr="00DA17A5" w:rsidP="00DA17A5">
      <w:pPr>
        <w:pStyle w:val="AllowPageBreak"/>
      </w:pPr>
    </w:p>
    <w:p w:rsidR="00000000" w:rsidRPr="00DA17A5" w:rsidP="00DA17A5">
      <w:pPr>
        <w:pStyle w:val="Heading1"/>
      </w:pPr>
      <w:bookmarkStart w:id="3" w:name="O_951642"/>
      <w:bookmarkEnd w:id="3"/>
      <w:r w:rsidRPr="00DA17A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I</w:t>
            </w:r>
            <w:r w:rsidRPr="00DA17A5">
              <w:t>nterpret technical drawing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Undertake manual handling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Perform engineering measurements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Work safely and effectively in manufacturing and engineering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Organise and communicate information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Use hand tools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Use power tools/hand held operations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MEM27002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 xml:space="preserve">Test and repair compression ignition systems 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7A5" w:rsidP="00DA17A5">
            <w:pPr>
              <w:pStyle w:val="BodyText"/>
            </w:pPr>
            <w:r w:rsidRPr="00DA17A5">
              <w:t>Dismantle, replace and assemble engineering components</w:t>
            </w:r>
          </w:p>
        </w:tc>
      </w:tr>
    </w:tbl>
    <w:p w:rsidR="00000000" w:rsidRPr="00DA17A5" w:rsidP="00DA17A5">
      <w:pPr>
        <w:pStyle w:val="BodyText"/>
      </w:pPr>
    </w:p>
    <w:p w:rsidR="00000000" w:rsidRPr="00DA17A5" w:rsidP="00DA17A5">
      <w:pPr>
        <w:pStyle w:val="AllowPageBreak"/>
      </w:pPr>
    </w:p>
    <w:p w:rsidR="00000000" w:rsidRPr="00DA17A5" w:rsidP="00DA17A5">
      <w:pPr>
        <w:pStyle w:val="Heading1"/>
      </w:pPr>
      <w:bookmarkStart w:id="4" w:name="O_951641"/>
      <w:bookmarkEnd w:id="4"/>
      <w:r w:rsidRPr="00DA17A5">
        <w:t>Competency Field</w:t>
      </w:r>
    </w:p>
    <w:p w:rsidR="00000000" w:rsidRPr="00DA17A5" w:rsidP="00E87BE8">
      <w:pPr>
        <w:pStyle w:val="BodyText"/>
      </w:pPr>
      <w:r w:rsidRPr="00DA17A5">
        <w:t>Fixed and mobile plant</w:t>
      </w:r>
    </w:p>
    <w:p w:rsidR="00000000" w:rsidRPr="00DA17A5" w:rsidP="00DA17A5">
      <w:pPr>
        <w:pStyle w:val="Heading1"/>
      </w:pPr>
      <w:bookmarkStart w:id="5" w:name="O_951639"/>
      <w:bookmarkEnd w:id="5"/>
      <w:r w:rsidRPr="00DA17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Performance criteria describe the performance needed to demonstrate achievement of the element.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7A5" w:rsidP="00DA17A5">
            <w:pPr>
              <w:pStyle w:val="BodyText"/>
            </w:pPr>
            <w:r w:rsidRPr="00DA17A5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Follow standard operating procedures (SOPs)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Comply with work health and safety (WHS) requirements at all times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Use appropriate personal protective equipment (PPE) in accordance with SOPs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Identify job requirements from specifications, drawings, job sheets or work instructions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7A5" w:rsidP="00DA17A5">
            <w:pPr>
              <w:pStyle w:val="BodyText"/>
            </w:pPr>
            <w:r w:rsidRPr="00DA17A5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rPr>
                <w:rStyle w:val="SpecialBold"/>
              </w:rPr>
              <w:t>Compression test engine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Remove injectors and isolate fuel system for each cylinder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Select and fit appropriate adaptors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Obtain, interpret, record and correct readings for adaptor used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Use correct compression readings for adaptor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7A5" w:rsidP="00DA17A5">
            <w:pPr>
              <w:pStyle w:val="BodyText"/>
            </w:pPr>
            <w:r w:rsidRPr="00DA17A5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rPr>
                <w:rStyle w:val="SpecialBold"/>
              </w:rPr>
              <w:t>Perform tune up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 xml:space="preserve">Determine firing pressures and adjust to specification, as applicable 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Perform air restriction, boost, back pressure and flow tests according to manufacturer recommendations using applicable test equipment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Record readings and determine variances from specifications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Determine density of exhaust smoke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Adjust valve clearance and/or timing to specifications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Adjust injection pump or injector timing to specification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 xml:space="preserve">Adjust engine parameters using methods appropriate to technology of engine 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3.8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7A5" w:rsidP="00DA17A5">
            <w:pPr>
              <w:pStyle w:val="BodyText"/>
            </w:pPr>
            <w:r w:rsidRPr="00DA17A5">
              <w:t>Determine if injector opening pressure is within specification and adjust, arrange replacement or repair if faulty</w:t>
            </w:r>
          </w:p>
        </w:tc>
      </w:tr>
    </w:tbl>
    <w:p w:rsidR="00000000" w:rsidRPr="00DA17A5" w:rsidP="00DA17A5">
      <w:pPr>
        <w:pStyle w:val="BodyText"/>
      </w:pPr>
    </w:p>
    <w:p w:rsidR="00000000" w:rsidRPr="00DA17A5" w:rsidP="00DA17A5">
      <w:pPr>
        <w:pStyle w:val="AllowPageBreak"/>
      </w:pPr>
    </w:p>
    <w:p w:rsidR="00000000" w:rsidRPr="00DA17A5" w:rsidP="00DA17A5">
      <w:pPr>
        <w:pStyle w:val="Heading1"/>
      </w:pPr>
      <w:bookmarkStart w:id="6" w:name="O_951638"/>
      <w:bookmarkEnd w:id="6"/>
      <w:r w:rsidRPr="00DA17A5">
        <w:t>Foundation Skills</w:t>
      </w:r>
    </w:p>
    <w:p w:rsidR="00000000" w:rsidRPr="00DA17A5" w:rsidP="00E87BE8">
      <w:pPr>
        <w:pStyle w:val="BodyText"/>
      </w:pPr>
      <w:r w:rsidRPr="00DA17A5">
        <w:t>Th</w:t>
      </w:r>
      <w:r w:rsidRPr="00DA17A5">
        <w:t xml:space="preserve">is section describes those required skills (reading, writing, oral communication and numeracy) that are essential to workplace performance in this unit of competency.  </w:t>
      </w:r>
    </w:p>
    <w:p w:rsidR="00000000" w:rsidRPr="00DA17A5" w:rsidP="00E87BE8">
      <w:pPr>
        <w:pStyle w:val="BodyText"/>
      </w:pPr>
      <w:r w:rsidRPr="00DA17A5">
        <w:t>Foundation skills essential to performance are explicit in the performance criteria of</w:t>
      </w:r>
      <w:r w:rsidRPr="00DA17A5">
        <w:t xml:space="preserve"> this unit of competency.</w:t>
      </w:r>
    </w:p>
    <w:p w:rsidR="00000000" w:rsidRPr="00DA17A5" w:rsidP="00DA17A5">
      <w:pPr>
        <w:pStyle w:val="Heading1"/>
      </w:pPr>
      <w:bookmarkStart w:id="7" w:name="O_951637"/>
      <w:bookmarkEnd w:id="7"/>
      <w:r w:rsidRPr="00DA17A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t>This field allows for different work environments and conditions that may affect performance. Essential operating conditions that may be present (depending on the work situation, needs of the c</w:t>
            </w:r>
            <w:r w:rsidRPr="00DA17A5">
              <w:t>andidate, accessibility of the item, and local industry and regional contexts) are included.</w:t>
            </w:r>
          </w:p>
        </w:tc>
      </w:tr>
      <w:tr w:rsidTr="00DA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A5">
            <w:pPr>
              <w:pStyle w:val="BodyText"/>
              <w:rPr>
                <w:lang w:val="en-NZ"/>
              </w:rPr>
            </w:pPr>
            <w:r w:rsidRPr="00DA17A5">
              <w:rPr>
                <w:rStyle w:val="SpecialBold"/>
              </w:rPr>
              <w:t>Engine firing pressure control adjustment methods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7A5" w:rsidP="00DA17A5">
            <w:pPr>
              <w:pStyle w:val="ListBullet"/>
            </w:pPr>
            <w:r w:rsidRPr="00DA17A5">
              <w:t>reflashing of electronic control module (ECM) unit where electronic control is used</w:t>
            </w:r>
          </w:p>
          <w:p w:rsidR="00000000" w:rsidRPr="00DA17A5" w:rsidP="00DA17A5">
            <w:pPr>
              <w:pStyle w:val="ListBullet"/>
            </w:pPr>
            <w:r w:rsidRPr="00DA17A5">
              <w:t>manual adjustment of:</w:t>
            </w:r>
          </w:p>
          <w:p w:rsidR="00000000" w:rsidRPr="00DA17A5" w:rsidP="00DA17A5">
            <w:pPr>
              <w:pStyle w:val="ListBullet2"/>
            </w:pPr>
            <w:r w:rsidRPr="00DA17A5">
              <w:t>governor rack travel</w:t>
            </w:r>
          </w:p>
          <w:p w:rsidR="00000000" w:rsidRPr="00DA17A5" w:rsidP="00DA17A5">
            <w:pPr>
              <w:pStyle w:val="ListBullet2"/>
            </w:pPr>
            <w:r w:rsidRPr="00DA17A5">
              <w:t>torque spring load limit</w:t>
            </w:r>
          </w:p>
          <w:p w:rsidR="00000000" w:rsidRPr="00DA17A5" w:rsidP="00DA17A5">
            <w:pPr>
              <w:pStyle w:val="ListBullet2"/>
            </w:pPr>
            <w:r w:rsidRPr="00DA17A5">
              <w:t>over speed trips</w:t>
            </w:r>
          </w:p>
          <w:p w:rsidR="00000000" w:rsidRPr="00DA17A5" w:rsidP="00DA17A5">
            <w:pPr>
              <w:pStyle w:val="ListBullet2"/>
            </w:pPr>
            <w:r w:rsidRPr="00DA17A5">
              <w:t>aneroid or fuel ratio control to specification</w:t>
            </w:r>
          </w:p>
          <w:p w:rsidR="00000000" w:rsidRPr="00DA17A5" w:rsidP="00DA17A5">
            <w:pPr>
              <w:pStyle w:val="BodyText"/>
            </w:pPr>
          </w:p>
        </w:tc>
      </w:tr>
    </w:tbl>
    <w:p w:rsidR="00000000" w:rsidRPr="00DA17A5" w:rsidP="00DA17A5">
      <w:pPr>
        <w:pStyle w:val="BodyText"/>
      </w:pPr>
    </w:p>
    <w:p w:rsidR="00000000" w:rsidRPr="00DA17A5" w:rsidP="00DA17A5">
      <w:pPr>
        <w:pStyle w:val="AllowPageBreak"/>
      </w:pPr>
    </w:p>
    <w:p w:rsidR="00000000" w:rsidRPr="00DA17A5" w:rsidP="00DA17A5">
      <w:pPr>
        <w:pStyle w:val="Heading1"/>
      </w:pPr>
      <w:bookmarkStart w:id="8" w:name="O_951636"/>
      <w:bookmarkEnd w:id="8"/>
      <w:r w:rsidRPr="00DA17A5">
        <w:t>Unit Mapping Information</w:t>
      </w:r>
    </w:p>
    <w:p w:rsidR="00000000" w:rsidRPr="00DA17A5" w:rsidP="00E87BE8">
      <w:pPr>
        <w:pStyle w:val="BodyText"/>
      </w:pPr>
      <w:r w:rsidRPr="00DA17A5">
        <w:t xml:space="preserve">Release 1. Supersedes and is equivalent to MEM18029B Tune diesel engines </w:t>
      </w:r>
    </w:p>
    <w:p w:rsidR="00000000" w:rsidRPr="00DA17A5" w:rsidP="00DA17A5">
      <w:pPr>
        <w:pStyle w:val="Heading1"/>
      </w:pPr>
      <w:bookmarkStart w:id="9" w:name="O_951629"/>
      <w:bookmarkEnd w:id="9"/>
      <w:r w:rsidRPr="00DA17A5">
        <w:t>Links</w:t>
      </w:r>
    </w:p>
    <w:p w:rsidR="00000000" w:rsidRPr="00DA17A5" w:rsidP="00E87BE8">
      <w:pPr>
        <w:pStyle w:val="BodyText"/>
      </w:pPr>
      <w:r w:rsidRPr="00DA17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928B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A17A5" w:rsidP="00DA17A5"/>
    <w:sectPr w:rsidSect="00DA17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A5" w:rsidRPr="00E87BE8" w:rsidP="00E87B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BE8" w:rsidP="00DA1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7BE8" w:rsidP="00DA1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7BE8" w:rsidP="00DA17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B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17A5" w:rsidRPr="00E87BE8" w:rsidP="00E87B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BE8" w:rsidRPr="002D2AF8" w:rsidP="00DA1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MEM27005 Tune diesel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87BE8" w:rsidP="00DA17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644E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18E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30A5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7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17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17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17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17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17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17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17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17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17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17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17A5"/>
  </w:style>
  <w:style w:type="character" w:customStyle="1" w:styleId="Heading1Char">
    <w:name w:val="Heading 1 Char"/>
    <w:basedOn w:val="DefaultParagraphFont"/>
    <w:link w:val="Heading1"/>
    <w:rsid w:val="00DA17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17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17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17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17A5"/>
    <w:rPr>
      <w:b/>
      <w:spacing w:val="0"/>
    </w:rPr>
  </w:style>
  <w:style w:type="paragraph" w:styleId="ListBullet2">
    <w:name w:val="List Bullet 2"/>
    <w:basedOn w:val="List2"/>
    <w:rsid w:val="00DA17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17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17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17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17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17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1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1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1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1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17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17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17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17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17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17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17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17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17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17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17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17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17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17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17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17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17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17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17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17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17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17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17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17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17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17A5"/>
    <w:rPr>
      <w:i/>
    </w:rPr>
  </w:style>
  <w:style w:type="paragraph" w:styleId="Caption">
    <w:name w:val="caption"/>
    <w:basedOn w:val="BodyText"/>
    <w:next w:val="Normal"/>
    <w:qFormat/>
    <w:rsid w:val="00DA17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17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17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17A5"/>
  </w:style>
  <w:style w:type="paragraph" w:styleId="TableofFigures">
    <w:name w:val="table of figures"/>
    <w:basedOn w:val="Normal"/>
    <w:next w:val="Normal"/>
    <w:semiHidden/>
    <w:rsid w:val="00DA17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17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17A5"/>
    <w:rPr>
      <w:rFonts w:ascii="Wingdings" w:hAnsi="Wingdings"/>
    </w:rPr>
  </w:style>
  <w:style w:type="paragraph" w:customStyle="1" w:styleId="TableHeading">
    <w:name w:val="Table Heading"/>
    <w:basedOn w:val="HeadingBase"/>
    <w:rsid w:val="00DA17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17A5"/>
    <w:rPr>
      <w:color w:val="0033CC"/>
      <w:u w:val="none"/>
    </w:rPr>
  </w:style>
  <w:style w:type="paragraph" w:customStyle="1" w:styleId="BodyTextRight">
    <w:name w:val="Body Text Right"/>
    <w:basedOn w:val="BodyText"/>
    <w:rsid w:val="00DA17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17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17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17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17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17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17A5"/>
    <w:rPr>
      <w:sz w:val="32"/>
    </w:rPr>
  </w:style>
  <w:style w:type="paragraph" w:customStyle="1" w:styleId="HeadingProcedure">
    <w:name w:val="Heading Procedure"/>
    <w:basedOn w:val="HeadingBase"/>
    <w:next w:val="Normal"/>
    <w:rsid w:val="00DA17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17A5"/>
    <w:pPr>
      <w:spacing w:before="60" w:after="60"/>
    </w:pPr>
  </w:style>
  <w:style w:type="paragraph" w:styleId="ListContinue">
    <w:name w:val="List Continue"/>
    <w:basedOn w:val="List"/>
    <w:rsid w:val="00DA17A5"/>
    <w:pPr>
      <w:ind w:firstLine="0"/>
    </w:pPr>
  </w:style>
  <w:style w:type="paragraph" w:customStyle="1" w:styleId="ListNote">
    <w:name w:val="List Note"/>
    <w:basedOn w:val="List"/>
    <w:rsid w:val="00DA17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17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17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17A5"/>
    <w:rPr>
      <w:rFonts w:ascii="Courier New" w:hAnsi="Courier New"/>
    </w:rPr>
  </w:style>
  <w:style w:type="paragraph" w:customStyle="1" w:styleId="NoteBullet">
    <w:name w:val="Note Bullet"/>
    <w:basedOn w:val="Note"/>
    <w:rsid w:val="00DA17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17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17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17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17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17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17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17A5"/>
    <w:rPr>
      <w:b/>
      <w:smallCaps/>
    </w:rPr>
  </w:style>
  <w:style w:type="paragraph" w:customStyle="1" w:styleId="TableListNumber">
    <w:name w:val="Table List Number"/>
    <w:basedOn w:val="ListNumber"/>
    <w:rsid w:val="00DA17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17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17A5"/>
    <w:pPr>
      <w:numPr>
        <w:numId w:val="9"/>
      </w:numPr>
    </w:pPr>
  </w:style>
  <w:style w:type="paragraph" w:customStyle="1" w:styleId="ListAlpha2">
    <w:name w:val="List Alpha 2"/>
    <w:basedOn w:val="List2"/>
    <w:rsid w:val="00DA17A5"/>
    <w:pPr>
      <w:numPr>
        <w:numId w:val="8"/>
      </w:numPr>
    </w:pPr>
  </w:style>
  <w:style w:type="paragraph" w:styleId="List2">
    <w:name w:val="List 2"/>
    <w:basedOn w:val="BodyText"/>
    <w:rsid w:val="00DA17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17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17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17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17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17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17A5"/>
    <w:pPr>
      <w:numPr>
        <w:numId w:val="4"/>
      </w:numPr>
    </w:pPr>
  </w:style>
  <w:style w:type="paragraph" w:styleId="ListContinue2">
    <w:name w:val="List Continue 2"/>
    <w:basedOn w:val="List2"/>
    <w:rsid w:val="00DA17A5"/>
    <w:pPr>
      <w:ind w:firstLine="0"/>
    </w:pPr>
  </w:style>
  <w:style w:type="paragraph" w:styleId="ListContinue3">
    <w:name w:val="List Continue 3"/>
    <w:basedOn w:val="List3"/>
    <w:rsid w:val="00DA17A5"/>
    <w:pPr>
      <w:ind w:left="1021" w:firstLine="0"/>
    </w:pPr>
  </w:style>
  <w:style w:type="paragraph" w:styleId="ListContinue4">
    <w:name w:val="List Continue 4"/>
    <w:basedOn w:val="List4"/>
    <w:rsid w:val="00DA17A5"/>
    <w:pPr>
      <w:ind w:firstLine="0"/>
    </w:pPr>
  </w:style>
  <w:style w:type="paragraph" w:styleId="ListContinue5">
    <w:name w:val="List Continue 5"/>
    <w:basedOn w:val="List5"/>
    <w:rsid w:val="00DA17A5"/>
    <w:pPr>
      <w:ind w:firstLine="0"/>
    </w:pPr>
  </w:style>
  <w:style w:type="paragraph" w:styleId="ListNumber3">
    <w:name w:val="List Number 3"/>
    <w:basedOn w:val="List3"/>
    <w:rsid w:val="00DA17A5"/>
    <w:pPr>
      <w:numPr>
        <w:numId w:val="5"/>
      </w:numPr>
    </w:pPr>
  </w:style>
  <w:style w:type="paragraph" w:styleId="ListNumber4">
    <w:name w:val="List Number 4"/>
    <w:basedOn w:val="List4"/>
    <w:rsid w:val="00DA17A5"/>
    <w:pPr>
      <w:numPr>
        <w:numId w:val="6"/>
      </w:numPr>
    </w:pPr>
  </w:style>
  <w:style w:type="paragraph" w:styleId="ListNumber5">
    <w:name w:val="List Number 5"/>
    <w:basedOn w:val="List5"/>
    <w:rsid w:val="00DA17A5"/>
    <w:pPr>
      <w:numPr>
        <w:numId w:val="7"/>
      </w:numPr>
    </w:pPr>
  </w:style>
  <w:style w:type="paragraph" w:styleId="BlockText">
    <w:name w:val="Block Text"/>
    <w:basedOn w:val="Normal"/>
    <w:rsid w:val="00DA17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17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17A5"/>
    <w:rPr>
      <w:sz w:val="16"/>
      <w:vertAlign w:val="superscript"/>
    </w:rPr>
  </w:style>
  <w:style w:type="character" w:customStyle="1" w:styleId="Symbols">
    <w:name w:val="Symbols"/>
    <w:basedOn w:val="DefaultParagraphFont"/>
    <w:rsid w:val="00DA17A5"/>
    <w:rPr>
      <w:rFonts w:ascii="Symbol" w:hAnsi="Symbol"/>
    </w:rPr>
  </w:style>
  <w:style w:type="character" w:customStyle="1" w:styleId="MenuOptions">
    <w:name w:val="Menu Options"/>
    <w:basedOn w:val="DefaultParagraphFont"/>
    <w:rsid w:val="00DA17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17A5"/>
    <w:rPr>
      <w:b/>
    </w:rPr>
  </w:style>
  <w:style w:type="character" w:customStyle="1" w:styleId="Underlined">
    <w:name w:val="Underlined"/>
    <w:basedOn w:val="DefaultParagraphFont"/>
    <w:rsid w:val="00DA17A5"/>
    <w:rPr>
      <w:u w:val="single"/>
    </w:rPr>
  </w:style>
  <w:style w:type="paragraph" w:customStyle="1" w:styleId="TableBodyTextRight">
    <w:name w:val="Table Body Text Right"/>
    <w:basedOn w:val="TableBodyText"/>
    <w:rsid w:val="00DA17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17A5"/>
    <w:rPr>
      <w:sz w:val="18"/>
    </w:rPr>
  </w:style>
  <w:style w:type="paragraph" w:customStyle="1" w:styleId="BodySmallRight">
    <w:name w:val="Body Small Right"/>
    <w:basedOn w:val="BodyTextRight"/>
    <w:rsid w:val="00DA17A5"/>
    <w:rPr>
      <w:sz w:val="18"/>
      <w:szCs w:val="18"/>
    </w:rPr>
  </w:style>
  <w:style w:type="paragraph" w:customStyle="1" w:styleId="MarginEdition">
    <w:name w:val="Margin Edition"/>
    <w:basedOn w:val="MarginNote"/>
    <w:rsid w:val="00DA17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17A5"/>
    <w:rPr>
      <w:sz w:val="2"/>
      <w:szCs w:val="2"/>
    </w:rPr>
  </w:style>
  <w:style w:type="character" w:customStyle="1" w:styleId="Small">
    <w:name w:val="Small"/>
    <w:basedOn w:val="DefaultParagraphFont"/>
    <w:rsid w:val="00DA17A5"/>
    <w:rPr>
      <w:sz w:val="16"/>
    </w:rPr>
  </w:style>
  <w:style w:type="paragraph" w:customStyle="1" w:styleId="WideTable">
    <w:name w:val="Wide Table"/>
    <w:basedOn w:val="Normal"/>
    <w:rsid w:val="00DA17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17A5"/>
  </w:style>
  <w:style w:type="paragraph" w:styleId="Quote">
    <w:name w:val="Quote"/>
    <w:basedOn w:val="Heading1"/>
    <w:link w:val="QuoteChar"/>
    <w:qFormat/>
    <w:rsid w:val="00DA17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17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17A5"/>
    <w:pPr>
      <w:pageBreakBefore/>
    </w:pPr>
  </w:style>
  <w:style w:type="paragraph" w:customStyle="1" w:styleId="Border">
    <w:name w:val="Border"/>
    <w:basedOn w:val="Normal"/>
    <w:qFormat/>
    <w:rsid w:val="00DA17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17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7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7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17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17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17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17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17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17A5"/>
    <w:rPr>
      <w:u w:val="single"/>
    </w:rPr>
  </w:style>
  <w:style w:type="character" w:customStyle="1" w:styleId="BoldandItalics">
    <w:name w:val="Bold and Italics"/>
    <w:qFormat/>
    <w:rsid w:val="00DA17A5"/>
    <w:rPr>
      <w:b/>
      <w:i/>
      <w:u w:val="none"/>
    </w:rPr>
  </w:style>
  <w:style w:type="paragraph" w:styleId="BalloonText">
    <w:name w:val="Balloon Text"/>
    <w:basedOn w:val="Normal"/>
    <w:link w:val="BalloonTextChar"/>
    <w:rsid w:val="00DA17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17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17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17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17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17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17A5"/>
    <w:pPr>
      <w:spacing w:before="0" w:after="0"/>
    </w:pPr>
  </w:style>
  <w:style w:type="paragraph" w:customStyle="1" w:styleId="BodyTextBold">
    <w:name w:val="Body Text Bold"/>
    <w:basedOn w:val="BodyText"/>
    <w:qFormat/>
    <w:rsid w:val="00DA17A5"/>
    <w:rPr>
      <w:b/>
    </w:rPr>
  </w:style>
  <w:style w:type="character" w:styleId="Hyperlink">
    <w:name w:val="Hyperlink"/>
    <w:basedOn w:val="DefaultParagraphFont"/>
    <w:uiPriority w:val="99"/>
    <w:unhideWhenUsed/>
    <w:rsid w:val="00E87B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3259</Characters>
  <Application>Microsoft Office Word</Application>
  <DocSecurity>0</DocSecurity>
  <Lines>181</Lines>
  <Paragraphs>107</Paragraphs>
  <ScaleCrop>false</ScaleCrop>
  <Company>Author-it Software Corporation Ltd.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MEM27005 Tune diesel engines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2023-02-03T06:15:00Z</dcterms:created>
  <dcterms:modified xsi:type="dcterms:W3CDTF">2023-02-03T06:15:00Z</dcterms:modified>
</cp:coreProperties>
</file>