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C78" w:rsidP="00C02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MEM27004 Maintain and repair engine lubrication systems</w:t>
      </w:r>
      <w:r>
        <w:fldChar w:fldCharType="end"/>
      </w:r>
    </w:p>
    <w:p w:rsidR="00C02C78" w:rsidP="00C02C78">
      <w:pPr>
        <w:pStyle w:val="Version"/>
        <w:sectPr w:rsidSect="00EA6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4D7" w:rsidP="00EA64D7">
      <w:pPr>
        <w:pStyle w:val="SuperHeading"/>
      </w:pPr>
      <w:r w:rsidRPr="00EA64D7">
        <w:t>MEM27004 Maintain and repair engine lubrication systems</w:t>
      </w:r>
    </w:p>
    <w:p w:rsidR="00000000" w:rsidRPr="00EA64D7" w:rsidP="00EA64D7">
      <w:pPr>
        <w:pStyle w:val="Heading1"/>
      </w:pPr>
      <w:bookmarkStart w:id="1" w:name="O_951616"/>
      <w:bookmarkEnd w:id="1"/>
      <w:r w:rsidRPr="00EA64D7">
        <w:t>Modification History</w:t>
      </w:r>
    </w:p>
    <w:p w:rsidR="00000000" w:rsidRPr="00EA64D7" w:rsidP="00C02C78">
      <w:pPr>
        <w:pStyle w:val="BodyText"/>
      </w:pPr>
      <w:r w:rsidRPr="00EA64D7">
        <w:t xml:space="preserve">Release 1. Supersedes and is equivalent to MEM18028B Maintain engine lubrication systems </w:t>
      </w:r>
    </w:p>
    <w:p w:rsidR="00000000" w:rsidRPr="00EA64D7" w:rsidP="00EA64D7">
      <w:pPr>
        <w:pStyle w:val="Heading1"/>
      </w:pPr>
      <w:bookmarkStart w:id="2" w:name="O_951624"/>
      <w:bookmarkEnd w:id="2"/>
      <w:r w:rsidRPr="00EA64D7">
        <w:t>Application</w:t>
      </w:r>
    </w:p>
    <w:p w:rsidR="00000000" w:rsidRPr="00EA64D7" w:rsidP="00C02C78">
      <w:pPr>
        <w:pStyle w:val="BodyText"/>
      </w:pPr>
      <w:r w:rsidRPr="00EA64D7">
        <w:t>This unit of competency defines the skills and knowledge required to assess lubrication system opera</w:t>
      </w:r>
      <w:r w:rsidRPr="00EA64D7">
        <w:t>tions and repair or replace faulty components.</w:t>
      </w:r>
    </w:p>
    <w:p w:rsidR="00000000" w:rsidRPr="00EA64D7" w:rsidP="00C02C78">
      <w:pPr>
        <w:pStyle w:val="BodyText"/>
      </w:pPr>
      <w:r w:rsidRPr="00EA64D7">
        <w:t>No licensing, legislative or certification requirements apply to this unit at the time of publication.</w:t>
      </w:r>
    </w:p>
    <w:p w:rsidR="00000000" w:rsidRPr="00EA64D7" w:rsidP="00EA64D7">
      <w:pPr>
        <w:pStyle w:val="BodyText"/>
      </w:pPr>
      <w:r w:rsidRPr="00EA64D7">
        <w:rPr>
          <w:rStyle w:val="SpecialBold"/>
        </w:rPr>
        <w:t>Band</w:t>
      </w:r>
      <w:r w:rsidRPr="00EA64D7">
        <w:t>:</w:t>
      </w:r>
      <w:r w:rsidRPr="00EA64D7">
        <w:tab/>
      </w:r>
      <w:r w:rsidRPr="00EA64D7">
        <w:rPr>
          <w:rStyle w:val="SpecialBold"/>
        </w:rPr>
        <w:t>A</w:t>
      </w:r>
    </w:p>
    <w:p w:rsidR="00000000" w:rsidRPr="00EA64D7" w:rsidP="00EA64D7">
      <w:pPr>
        <w:pStyle w:val="BodyText"/>
      </w:pPr>
      <w:r w:rsidRPr="00EA64D7">
        <w:rPr>
          <w:rStyle w:val="SpecialBold"/>
        </w:rPr>
        <w:t>Unit Weight</w:t>
      </w:r>
      <w:r w:rsidRPr="00EA64D7">
        <w:t>:</w:t>
      </w:r>
      <w:r w:rsidRPr="00EA64D7">
        <w:tab/>
      </w:r>
      <w:r w:rsidRPr="00EA64D7">
        <w:rPr>
          <w:rStyle w:val="SpecialBold"/>
        </w:rPr>
        <w:t>2</w:t>
      </w:r>
    </w:p>
    <w:p w:rsidR="00000000" w:rsidRPr="00EA64D7" w:rsidP="00EA64D7">
      <w:pPr>
        <w:pStyle w:val="AllowPageBreak"/>
      </w:pPr>
    </w:p>
    <w:p w:rsidR="00000000" w:rsidRPr="00EA64D7" w:rsidP="00EA64D7">
      <w:pPr>
        <w:pStyle w:val="Heading1"/>
      </w:pPr>
      <w:bookmarkStart w:id="3" w:name="O_951623"/>
      <w:bookmarkEnd w:id="3"/>
      <w:r w:rsidRPr="00EA64D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Interpret technical drawing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MEM1101</w:t>
            </w:r>
            <w:r w:rsidRPr="00EA64D7">
              <w:t>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Undertake manual handling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Perform engineering measurements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Work safely and effectively in manufacturing and engineering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Organise and communicate information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Use hand tools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Use power tools/hand held operations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D7" w:rsidP="00EA64D7">
            <w:pPr>
              <w:pStyle w:val="BodyText"/>
            </w:pPr>
            <w:r w:rsidRPr="00EA64D7">
              <w:t>Dismantle, replace and assemble engineering components</w:t>
            </w:r>
          </w:p>
        </w:tc>
      </w:tr>
    </w:tbl>
    <w:p w:rsidR="00000000" w:rsidRPr="00EA64D7" w:rsidP="00EA64D7">
      <w:pPr>
        <w:pStyle w:val="BodyText"/>
      </w:pPr>
    </w:p>
    <w:p w:rsidR="00000000" w:rsidRPr="00EA64D7" w:rsidP="00EA64D7">
      <w:pPr>
        <w:pStyle w:val="AllowPageBreak"/>
      </w:pPr>
    </w:p>
    <w:p w:rsidR="00000000" w:rsidRPr="00EA64D7" w:rsidP="00EA64D7">
      <w:pPr>
        <w:pStyle w:val="Heading1"/>
      </w:pPr>
      <w:bookmarkStart w:id="4" w:name="O_951622"/>
      <w:bookmarkEnd w:id="4"/>
      <w:r w:rsidRPr="00EA64D7">
        <w:t>Competency Field</w:t>
      </w:r>
    </w:p>
    <w:p w:rsidR="00000000" w:rsidRPr="00EA64D7" w:rsidP="00C02C78">
      <w:pPr>
        <w:pStyle w:val="BodyText"/>
      </w:pPr>
      <w:r w:rsidRPr="00EA64D7">
        <w:t>Fixed and mobile plant</w:t>
      </w:r>
    </w:p>
    <w:p w:rsidR="00000000" w:rsidRPr="00EA64D7" w:rsidP="00EA64D7">
      <w:pPr>
        <w:pStyle w:val="Heading1"/>
      </w:pPr>
      <w:bookmarkStart w:id="5" w:name="O_951620"/>
      <w:bookmarkEnd w:id="5"/>
      <w:r w:rsidRPr="00EA64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Performance criteria describe the performance needed to demonstrate achievement of the element.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D7" w:rsidP="00EA64D7">
            <w:pPr>
              <w:pStyle w:val="BodyText"/>
            </w:pPr>
            <w:r w:rsidRPr="00EA64D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Follow standard operating procedures (SOPs)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Comply with work health and safety (WHS) requirements at all times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Use appropriate personal protective equipment (PPE) in accordance with SOPs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Identify job requirements from specifications, drawings, job sheets or work instructions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D7" w:rsidP="00EA64D7">
            <w:pPr>
              <w:pStyle w:val="BodyText"/>
            </w:pPr>
            <w:r w:rsidRPr="00EA64D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rPr>
                <w:rStyle w:val="SpecialBold"/>
              </w:rPr>
              <w:t>Assess lubrication system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Identify lubrication system and lubricant specifications prior to any testing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Undertake system checks safely and to prescribed procedures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Assess lubrication system operation, including condition and appropriateness of lubricant fluid, integri</w:t>
            </w:r>
            <w:r w:rsidRPr="00EA64D7">
              <w:t>ty of lubrication system and condition of components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Determine flows, pressures and temperatures and record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Identify leaks and any sources of contamination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Isolate faults to component level using test equipment and determine appropriate corrective action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Evaluate results of spectrographic or laboratory analysis and make recommendations regarding adjustments to future maintenance activities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Asses</w:t>
            </w:r>
            <w:r w:rsidRPr="00EA64D7">
              <w:t>s auxiliary lubrication systems for correct operation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D7" w:rsidP="00EA64D7">
            <w:pPr>
              <w:pStyle w:val="BodyText"/>
            </w:pPr>
            <w:r w:rsidRPr="00EA64D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rPr>
                <w:rStyle w:val="SpecialBold"/>
              </w:rPr>
              <w:t>Rectify faulty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Determine component wear and clearances using appropriate test equipment and manufacturer recommendations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Select replacement components using manufacturers</w:t>
            </w:r>
            <w:r>
              <w:t>’</w:t>
            </w:r>
            <w:r w:rsidRPr="00EA64D7">
              <w:t xml:space="preserve"> data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 xml:space="preserve">Remove components and refit to engine 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Make final adjustments that bring system in line with specifications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Record test and rectification activities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D7" w:rsidP="00EA64D7">
            <w:pPr>
              <w:pStyle w:val="BodyText"/>
            </w:pPr>
            <w:r w:rsidRPr="00EA64D7">
              <w:t>Ensure engine is free of lubricant leaks after rectification work is carried out</w:t>
            </w:r>
          </w:p>
        </w:tc>
      </w:tr>
    </w:tbl>
    <w:p w:rsidR="00000000" w:rsidRPr="00EA64D7" w:rsidP="00EA64D7">
      <w:pPr>
        <w:pStyle w:val="BodyText"/>
      </w:pPr>
    </w:p>
    <w:p w:rsidR="00000000" w:rsidRPr="00EA64D7" w:rsidP="00EA64D7">
      <w:pPr>
        <w:pStyle w:val="AllowPageBreak"/>
      </w:pPr>
    </w:p>
    <w:p w:rsidR="00000000" w:rsidRPr="00EA64D7" w:rsidP="00EA64D7">
      <w:pPr>
        <w:pStyle w:val="Heading1"/>
      </w:pPr>
      <w:bookmarkStart w:id="6" w:name="O_951619"/>
      <w:bookmarkEnd w:id="6"/>
      <w:r w:rsidRPr="00EA64D7">
        <w:t>Foundation Skills</w:t>
      </w:r>
    </w:p>
    <w:p w:rsidR="00000000" w:rsidRPr="00EA64D7" w:rsidP="00C02C78">
      <w:pPr>
        <w:pStyle w:val="BodyText"/>
      </w:pPr>
      <w:r w:rsidRPr="00EA64D7">
        <w:t>This section describes those required skills (reading, writing, oral communication and numeracy) that are essential to workplace performan</w:t>
      </w:r>
      <w:r w:rsidRPr="00EA64D7">
        <w:t xml:space="preserve">ce in this unit of competency.  </w:t>
      </w:r>
    </w:p>
    <w:p w:rsidR="00000000" w:rsidRPr="00EA64D7" w:rsidP="00C02C78">
      <w:pPr>
        <w:pStyle w:val="BodyText"/>
      </w:pPr>
      <w:r w:rsidRPr="00EA64D7">
        <w:t>Foundation skills essential to performance are explicit in the performance criteria of this unit of competency.</w:t>
      </w:r>
    </w:p>
    <w:p w:rsidR="00000000" w:rsidRPr="00EA64D7" w:rsidP="00EA64D7">
      <w:pPr>
        <w:pStyle w:val="Heading1"/>
      </w:pPr>
      <w:bookmarkStart w:id="7" w:name="O_951618"/>
      <w:bookmarkEnd w:id="7"/>
      <w:r w:rsidRPr="00EA64D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t>This field allows for different work environments and conditions that may</w:t>
            </w:r>
            <w:r w:rsidRPr="00EA64D7">
              <w:t xml:space="preserve">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rPr>
                <w:rStyle w:val="SpecialBold"/>
              </w:rPr>
              <w:t>Faults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D7" w:rsidP="00EA64D7">
            <w:pPr>
              <w:pStyle w:val="ListBullet"/>
            </w:pPr>
            <w:r w:rsidRPr="00EA64D7">
              <w:t>low or high pressure</w:t>
            </w:r>
          </w:p>
          <w:p w:rsidR="00000000" w:rsidRPr="00EA64D7" w:rsidP="00EA64D7">
            <w:pPr>
              <w:pStyle w:val="ListBullet"/>
            </w:pPr>
            <w:r w:rsidRPr="00EA64D7">
              <w:t>low or high temperature</w:t>
            </w:r>
          </w:p>
          <w:p w:rsidR="00000000" w:rsidRPr="00EA64D7" w:rsidP="00EA64D7">
            <w:pPr>
              <w:pStyle w:val="ListBullet"/>
            </w:pPr>
            <w:r w:rsidRPr="00EA64D7">
              <w:t>contamination</w:t>
            </w:r>
          </w:p>
          <w:p w:rsidR="00000000" w:rsidRPr="00EA64D7" w:rsidP="00EA64D7">
            <w:pPr>
              <w:pStyle w:val="ListBullet"/>
            </w:pPr>
            <w:r w:rsidRPr="00EA64D7">
              <w:t>excessive or too little consumption/flow</w:t>
            </w:r>
          </w:p>
          <w:p w:rsidR="00000000" w:rsidRPr="00EA64D7" w:rsidP="00EA64D7">
            <w:pPr>
              <w:pStyle w:val="ListBullet"/>
            </w:pPr>
            <w:r w:rsidRPr="00EA64D7">
              <w:t>leaks</w:t>
            </w:r>
          </w:p>
          <w:p w:rsidR="00000000" w:rsidRPr="00EA64D7" w:rsidP="00EA64D7">
            <w:pPr>
              <w:pStyle w:val="ListBullet"/>
            </w:pPr>
            <w:r w:rsidRPr="00EA64D7">
              <w:t>use of incorrect lubricant</w:t>
            </w:r>
          </w:p>
          <w:p w:rsidR="00000000" w:rsidP="00EA64D7">
            <w:pPr>
              <w:pStyle w:val="BodyText"/>
              <w:rPr>
                <w:lang w:val="en-NZ"/>
              </w:rPr>
            </w:pP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D7" w:rsidP="00EA64D7">
            <w:pPr>
              <w:pStyle w:val="ListBullet"/>
            </w:pPr>
            <w:r w:rsidRPr="00EA64D7">
              <w:t>pressure/temperature gauges</w:t>
            </w:r>
          </w:p>
          <w:p w:rsidR="00000000" w:rsidRPr="00EA64D7" w:rsidP="00EA64D7">
            <w:pPr>
              <w:pStyle w:val="ListBullet"/>
            </w:pPr>
            <w:r w:rsidRPr="00EA64D7">
              <w:t>flow meters</w:t>
            </w:r>
          </w:p>
          <w:p w:rsidR="00000000" w:rsidP="00EA64D7">
            <w:pPr>
              <w:pStyle w:val="BodyText"/>
              <w:rPr>
                <w:lang w:val="en-NZ"/>
              </w:rPr>
            </w:pPr>
          </w:p>
        </w:tc>
      </w:tr>
      <w:tr w:rsidTr="00EA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4D7">
            <w:pPr>
              <w:pStyle w:val="BodyText"/>
              <w:rPr>
                <w:lang w:val="en-NZ"/>
              </w:rPr>
            </w:pPr>
            <w:r w:rsidRPr="00EA64D7">
              <w:rPr>
                <w:rStyle w:val="SpecialBold"/>
              </w:rPr>
              <w:t>Adjustments include setting one (1) or more of the following valves to specified pressures or flows: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4D7" w:rsidP="00EA64D7">
            <w:pPr>
              <w:pStyle w:val="ListBullet"/>
            </w:pPr>
            <w:r w:rsidRPr="00EA64D7">
              <w:t>bypass</w:t>
            </w:r>
          </w:p>
          <w:p w:rsidR="00000000" w:rsidRPr="00EA64D7" w:rsidP="00EA64D7">
            <w:pPr>
              <w:pStyle w:val="ListBullet"/>
            </w:pPr>
            <w:r w:rsidRPr="00EA64D7">
              <w:t>regulating</w:t>
            </w:r>
          </w:p>
          <w:p w:rsidR="00000000" w:rsidRPr="00EA64D7" w:rsidP="00EA64D7">
            <w:pPr>
              <w:pStyle w:val="ListBullet"/>
            </w:pPr>
            <w:r w:rsidRPr="00EA64D7">
              <w:t>relief</w:t>
            </w:r>
          </w:p>
          <w:p w:rsidR="00000000" w:rsidRPr="00EA64D7" w:rsidP="00EA64D7">
            <w:pPr>
              <w:pStyle w:val="BodyText"/>
            </w:pPr>
          </w:p>
        </w:tc>
      </w:tr>
    </w:tbl>
    <w:p w:rsidR="00000000" w:rsidRPr="00EA64D7" w:rsidP="00EA64D7">
      <w:pPr>
        <w:pStyle w:val="BodyText"/>
      </w:pPr>
    </w:p>
    <w:p w:rsidR="00000000" w:rsidRPr="00EA64D7" w:rsidP="00EA64D7">
      <w:pPr>
        <w:pStyle w:val="AllowPageBreak"/>
      </w:pPr>
    </w:p>
    <w:p w:rsidR="00000000" w:rsidRPr="00EA64D7" w:rsidP="00EA64D7">
      <w:pPr>
        <w:pStyle w:val="Heading1"/>
      </w:pPr>
      <w:bookmarkStart w:id="8" w:name="O_951617"/>
      <w:bookmarkEnd w:id="8"/>
      <w:r w:rsidRPr="00EA64D7">
        <w:t>Unit Mapping Information</w:t>
      </w:r>
    </w:p>
    <w:p w:rsidR="00000000" w:rsidRPr="00EA64D7" w:rsidP="00C02C78">
      <w:pPr>
        <w:pStyle w:val="BodyText"/>
      </w:pPr>
      <w:r w:rsidRPr="00EA64D7">
        <w:t>Release 1. Supersedes and is equivalent to</w:t>
      </w:r>
      <w:r w:rsidRPr="00EA64D7">
        <w:t xml:space="preserve"> MEM18028B Maintain engine lubrication systems </w:t>
      </w:r>
    </w:p>
    <w:p w:rsidR="00000000" w:rsidRPr="00EA64D7" w:rsidP="00EA64D7">
      <w:pPr>
        <w:pStyle w:val="Heading1"/>
      </w:pPr>
      <w:bookmarkStart w:id="9" w:name="O_951610"/>
      <w:bookmarkEnd w:id="9"/>
      <w:r w:rsidRPr="00EA64D7">
        <w:t>Links</w:t>
      </w:r>
    </w:p>
    <w:p w:rsidR="00000000" w:rsidRPr="00EA64D7" w:rsidP="00C02C78">
      <w:pPr>
        <w:pStyle w:val="BodyText"/>
      </w:pPr>
      <w:r w:rsidRPr="00EA64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E6C3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A64D7" w:rsidP="00EA64D7"/>
    <w:sectPr w:rsidSect="00EA64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D7" w:rsidRPr="00C02C78" w:rsidP="00C02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78" w:rsidP="00EA6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C78" w:rsidP="00EA6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02C78" w:rsidP="00EA6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4D7" w:rsidRPr="00C02C78" w:rsidP="00C02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78" w:rsidRPr="002D2AF8" w:rsidP="00EA6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MEM27004 Maintain and repair engine lubrication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02C78" w:rsidP="00EA6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92C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FCE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4D7"/>
  </w:style>
  <w:style w:type="character" w:customStyle="1" w:styleId="Heading1Char">
    <w:name w:val="Heading 1 Char"/>
    <w:basedOn w:val="DefaultParagraphFont"/>
    <w:link w:val="Heading1"/>
    <w:rsid w:val="00EA6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4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4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4D7"/>
    <w:rPr>
      <w:b/>
      <w:spacing w:val="0"/>
    </w:rPr>
  </w:style>
  <w:style w:type="paragraph" w:customStyle="1" w:styleId="SuperHeading">
    <w:name w:val="SuperHeading"/>
    <w:basedOn w:val="Normal"/>
    <w:rsid w:val="00EA6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4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4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4D7"/>
    <w:rPr>
      <w:i/>
    </w:rPr>
  </w:style>
  <w:style w:type="paragraph" w:styleId="Caption">
    <w:name w:val="caption"/>
    <w:basedOn w:val="BodyText"/>
    <w:next w:val="Normal"/>
    <w:qFormat/>
    <w:rsid w:val="00EA6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4D7"/>
  </w:style>
  <w:style w:type="paragraph" w:styleId="TableofFigures">
    <w:name w:val="table of figures"/>
    <w:basedOn w:val="Normal"/>
    <w:next w:val="Normal"/>
    <w:semiHidden/>
    <w:rsid w:val="00EA6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4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64D7"/>
    <w:rPr>
      <w:rFonts w:ascii="Wingdings" w:hAnsi="Wingdings"/>
    </w:rPr>
  </w:style>
  <w:style w:type="paragraph" w:customStyle="1" w:styleId="TableHeading">
    <w:name w:val="Table Heading"/>
    <w:basedOn w:val="HeadingBase"/>
    <w:rsid w:val="00EA6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4D7"/>
    <w:rPr>
      <w:color w:val="0033CC"/>
      <w:u w:val="none"/>
    </w:rPr>
  </w:style>
  <w:style w:type="paragraph" w:customStyle="1" w:styleId="BodyTextRight">
    <w:name w:val="Body Text Right"/>
    <w:basedOn w:val="BodyText"/>
    <w:rsid w:val="00EA6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4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4D7"/>
    <w:rPr>
      <w:sz w:val="32"/>
    </w:rPr>
  </w:style>
  <w:style w:type="paragraph" w:customStyle="1" w:styleId="HeadingProcedure">
    <w:name w:val="Heading Procedure"/>
    <w:basedOn w:val="HeadingBase"/>
    <w:next w:val="Normal"/>
    <w:rsid w:val="00EA6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4D7"/>
    <w:pPr>
      <w:spacing w:before="60" w:after="60"/>
    </w:pPr>
  </w:style>
  <w:style w:type="paragraph" w:styleId="ListContinue">
    <w:name w:val="List Continue"/>
    <w:basedOn w:val="List"/>
    <w:rsid w:val="00EA64D7"/>
    <w:pPr>
      <w:ind w:firstLine="0"/>
    </w:pPr>
  </w:style>
  <w:style w:type="paragraph" w:customStyle="1" w:styleId="ListNote">
    <w:name w:val="List Note"/>
    <w:basedOn w:val="List"/>
    <w:rsid w:val="00EA6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4D7"/>
    <w:rPr>
      <w:rFonts w:ascii="Courier New" w:hAnsi="Courier New"/>
    </w:rPr>
  </w:style>
  <w:style w:type="paragraph" w:customStyle="1" w:styleId="NoteBullet">
    <w:name w:val="Note Bullet"/>
    <w:basedOn w:val="Note"/>
    <w:rsid w:val="00EA6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4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4D7"/>
    <w:rPr>
      <w:b/>
      <w:smallCaps/>
    </w:rPr>
  </w:style>
  <w:style w:type="paragraph" w:customStyle="1" w:styleId="TableListNumber">
    <w:name w:val="Table List Number"/>
    <w:basedOn w:val="ListNumber"/>
    <w:rsid w:val="00EA6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4D7"/>
    <w:pPr>
      <w:numPr>
        <w:numId w:val="8"/>
      </w:numPr>
    </w:pPr>
  </w:style>
  <w:style w:type="paragraph" w:customStyle="1" w:styleId="ListAlpha2">
    <w:name w:val="List Alpha 2"/>
    <w:basedOn w:val="List2"/>
    <w:rsid w:val="00EA64D7"/>
    <w:pPr>
      <w:numPr>
        <w:numId w:val="7"/>
      </w:numPr>
    </w:pPr>
  </w:style>
  <w:style w:type="paragraph" w:styleId="List2">
    <w:name w:val="List 2"/>
    <w:basedOn w:val="BodyText"/>
    <w:rsid w:val="00EA6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4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4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64D7"/>
    <w:pPr>
      <w:numPr>
        <w:numId w:val="3"/>
      </w:numPr>
    </w:pPr>
  </w:style>
  <w:style w:type="paragraph" w:styleId="ListContinue2">
    <w:name w:val="List Continue 2"/>
    <w:basedOn w:val="List2"/>
    <w:rsid w:val="00EA64D7"/>
    <w:pPr>
      <w:ind w:firstLine="0"/>
    </w:pPr>
  </w:style>
  <w:style w:type="paragraph" w:styleId="ListContinue3">
    <w:name w:val="List Continue 3"/>
    <w:basedOn w:val="List3"/>
    <w:rsid w:val="00EA64D7"/>
    <w:pPr>
      <w:ind w:left="1021" w:firstLine="0"/>
    </w:pPr>
  </w:style>
  <w:style w:type="paragraph" w:styleId="ListContinue4">
    <w:name w:val="List Continue 4"/>
    <w:basedOn w:val="List4"/>
    <w:rsid w:val="00EA64D7"/>
    <w:pPr>
      <w:ind w:firstLine="0"/>
    </w:pPr>
  </w:style>
  <w:style w:type="paragraph" w:styleId="ListContinue5">
    <w:name w:val="List Continue 5"/>
    <w:basedOn w:val="List5"/>
    <w:rsid w:val="00EA64D7"/>
    <w:pPr>
      <w:ind w:firstLine="0"/>
    </w:pPr>
  </w:style>
  <w:style w:type="paragraph" w:styleId="ListNumber3">
    <w:name w:val="List Number 3"/>
    <w:basedOn w:val="List3"/>
    <w:rsid w:val="00EA64D7"/>
    <w:pPr>
      <w:numPr>
        <w:numId w:val="4"/>
      </w:numPr>
    </w:pPr>
  </w:style>
  <w:style w:type="paragraph" w:styleId="ListNumber4">
    <w:name w:val="List Number 4"/>
    <w:basedOn w:val="List4"/>
    <w:rsid w:val="00EA64D7"/>
    <w:pPr>
      <w:numPr>
        <w:numId w:val="5"/>
      </w:numPr>
    </w:pPr>
  </w:style>
  <w:style w:type="paragraph" w:styleId="ListNumber5">
    <w:name w:val="List Number 5"/>
    <w:basedOn w:val="List5"/>
    <w:rsid w:val="00EA64D7"/>
    <w:pPr>
      <w:numPr>
        <w:numId w:val="6"/>
      </w:numPr>
    </w:pPr>
  </w:style>
  <w:style w:type="paragraph" w:styleId="BlockText">
    <w:name w:val="Block Text"/>
    <w:basedOn w:val="Normal"/>
    <w:rsid w:val="00EA6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4D7"/>
    <w:rPr>
      <w:sz w:val="16"/>
      <w:vertAlign w:val="superscript"/>
    </w:rPr>
  </w:style>
  <w:style w:type="character" w:customStyle="1" w:styleId="Symbols">
    <w:name w:val="Symbols"/>
    <w:basedOn w:val="DefaultParagraphFont"/>
    <w:rsid w:val="00EA64D7"/>
    <w:rPr>
      <w:rFonts w:ascii="Symbol" w:hAnsi="Symbol"/>
    </w:rPr>
  </w:style>
  <w:style w:type="character" w:customStyle="1" w:styleId="MenuOptions">
    <w:name w:val="Menu Options"/>
    <w:basedOn w:val="DefaultParagraphFont"/>
    <w:rsid w:val="00EA6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4D7"/>
    <w:rPr>
      <w:b/>
    </w:rPr>
  </w:style>
  <w:style w:type="character" w:customStyle="1" w:styleId="Underlined">
    <w:name w:val="Underlined"/>
    <w:basedOn w:val="DefaultParagraphFont"/>
    <w:rsid w:val="00EA64D7"/>
    <w:rPr>
      <w:u w:val="single"/>
    </w:rPr>
  </w:style>
  <w:style w:type="paragraph" w:customStyle="1" w:styleId="TableBodyTextRight">
    <w:name w:val="Table Body Text Right"/>
    <w:basedOn w:val="TableBodyText"/>
    <w:rsid w:val="00EA6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4D7"/>
    <w:rPr>
      <w:sz w:val="18"/>
    </w:rPr>
  </w:style>
  <w:style w:type="paragraph" w:customStyle="1" w:styleId="BodySmallRight">
    <w:name w:val="Body Small Right"/>
    <w:basedOn w:val="BodyTextRight"/>
    <w:rsid w:val="00EA64D7"/>
    <w:rPr>
      <w:sz w:val="18"/>
      <w:szCs w:val="18"/>
    </w:rPr>
  </w:style>
  <w:style w:type="paragraph" w:customStyle="1" w:styleId="MarginEdition">
    <w:name w:val="Margin Edition"/>
    <w:basedOn w:val="MarginNote"/>
    <w:rsid w:val="00EA6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4D7"/>
    <w:rPr>
      <w:sz w:val="2"/>
      <w:szCs w:val="2"/>
    </w:rPr>
  </w:style>
  <w:style w:type="character" w:customStyle="1" w:styleId="Small">
    <w:name w:val="Small"/>
    <w:basedOn w:val="DefaultParagraphFont"/>
    <w:rsid w:val="00EA64D7"/>
    <w:rPr>
      <w:sz w:val="16"/>
    </w:rPr>
  </w:style>
  <w:style w:type="paragraph" w:customStyle="1" w:styleId="WideTable">
    <w:name w:val="Wide Table"/>
    <w:basedOn w:val="Normal"/>
    <w:rsid w:val="00EA6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4D7"/>
  </w:style>
  <w:style w:type="paragraph" w:styleId="Quote">
    <w:name w:val="Quote"/>
    <w:basedOn w:val="Heading1"/>
    <w:link w:val="QuoteChar"/>
    <w:qFormat/>
    <w:rsid w:val="00EA6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4D7"/>
    <w:pPr>
      <w:pageBreakBefore/>
    </w:pPr>
  </w:style>
  <w:style w:type="paragraph" w:customStyle="1" w:styleId="Border">
    <w:name w:val="Border"/>
    <w:basedOn w:val="Normal"/>
    <w:qFormat/>
    <w:rsid w:val="00EA6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4D7"/>
    <w:rPr>
      <w:u w:val="single"/>
    </w:rPr>
  </w:style>
  <w:style w:type="character" w:customStyle="1" w:styleId="BoldandItalics">
    <w:name w:val="Bold and Italics"/>
    <w:qFormat/>
    <w:rsid w:val="00EA64D7"/>
    <w:rPr>
      <w:b/>
      <w:i/>
      <w:u w:val="none"/>
    </w:rPr>
  </w:style>
  <w:style w:type="paragraph" w:styleId="BalloonText">
    <w:name w:val="Balloon Text"/>
    <w:basedOn w:val="Normal"/>
    <w:link w:val="BalloonTextChar"/>
    <w:rsid w:val="00EA6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4D7"/>
    <w:pPr>
      <w:spacing w:before="0" w:after="0"/>
    </w:pPr>
  </w:style>
  <w:style w:type="paragraph" w:customStyle="1" w:styleId="BodyTextBold">
    <w:name w:val="Body Text Bold"/>
    <w:basedOn w:val="BodyText"/>
    <w:qFormat/>
    <w:rsid w:val="00EA64D7"/>
    <w:rPr>
      <w:b/>
    </w:rPr>
  </w:style>
  <w:style w:type="character" w:styleId="Hyperlink">
    <w:name w:val="Hyperlink"/>
    <w:basedOn w:val="DefaultParagraphFont"/>
    <w:uiPriority w:val="99"/>
    <w:unhideWhenUsed/>
    <w:rsid w:val="00C02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3614</Characters>
  <Application>Microsoft Office Word</Application>
  <DocSecurity>0</DocSecurity>
  <Lines>200</Lines>
  <Paragraphs>115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MEM27004 Maintain and repair engine lubrication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