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3FC" w:rsidP="00B71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MEM27003 Overhaul engine fuel system components</w:t>
      </w:r>
      <w:r>
        <w:fldChar w:fldCharType="end"/>
      </w:r>
    </w:p>
    <w:p w:rsidR="00B713FC" w:rsidP="00B713FC">
      <w:pPr>
        <w:pStyle w:val="Version"/>
        <w:sectPr w:rsidSect="00C00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7AD" w:rsidP="00C007AD">
      <w:pPr>
        <w:pStyle w:val="SuperHeading"/>
      </w:pPr>
      <w:r w:rsidRPr="00C007AD">
        <w:t>Assessment Requirements for MEM27003 Overhaul engine fuel system components</w:t>
      </w:r>
    </w:p>
    <w:p w:rsidR="00000000" w:rsidRPr="00C007AD" w:rsidP="00C007AD">
      <w:pPr>
        <w:pStyle w:val="Heading1"/>
      </w:pPr>
      <w:bookmarkStart w:id="1" w:name="O_951593"/>
      <w:bookmarkEnd w:id="1"/>
      <w:r w:rsidRPr="00C007AD">
        <w:t>Modification History</w:t>
      </w:r>
    </w:p>
    <w:p w:rsidR="00000000" w:rsidRPr="00C007AD" w:rsidP="00B713FC">
      <w:pPr>
        <w:pStyle w:val="BodyText"/>
      </w:pPr>
      <w:r w:rsidRPr="00C007AD">
        <w:t xml:space="preserve">Release 1. Supersedes and is equivalent to MEM18027C Overhaul engine fuel system components </w:t>
      </w:r>
    </w:p>
    <w:p w:rsidR="00000000" w:rsidRPr="00C007AD" w:rsidP="00C007AD">
      <w:pPr>
        <w:pStyle w:val="Heading1"/>
      </w:pPr>
      <w:bookmarkStart w:id="2" w:name="O_951596"/>
      <w:bookmarkEnd w:id="2"/>
      <w:r w:rsidRPr="00C007AD">
        <w:t>Performance Evidence</w:t>
      </w:r>
    </w:p>
    <w:p w:rsidR="00000000" w:rsidRPr="00C007AD" w:rsidP="00B713FC">
      <w:pPr>
        <w:pStyle w:val="BodyText"/>
      </w:pPr>
      <w:r w:rsidRPr="00C007AD">
        <w:t>Evidence required to demonstrate competence in this unit must be relevant to and satisfy the requirements of the elements and performance criteria on at least two (2) occasions and include:</w:t>
      </w:r>
    </w:p>
    <w:p w:rsidR="00000000" w:rsidRPr="00C007AD" w:rsidP="00C007AD">
      <w:pPr>
        <w:pStyle w:val="ListBullet"/>
      </w:pPr>
      <w:r w:rsidRPr="00C007AD">
        <w:t>following work instructions, standard operating procedures (SOPs)</w:t>
      </w:r>
      <w:r w:rsidRPr="00C007AD">
        <w:t xml:space="preserve"> and safe work practices </w:t>
      </w:r>
    </w:p>
    <w:p w:rsidR="00000000" w:rsidRPr="00C007AD" w:rsidP="00C007AD">
      <w:pPr>
        <w:pStyle w:val="ListBullet"/>
      </w:pPr>
      <w:r w:rsidRPr="00C007AD">
        <w:t>identifying and interpreting specifications, charts, lists, drawings and service documents for overhauling engine fuel system components</w:t>
      </w:r>
    </w:p>
    <w:p w:rsidR="00000000" w:rsidRPr="00C007AD" w:rsidP="00C007AD">
      <w:pPr>
        <w:pStyle w:val="ListBullet"/>
      </w:pPr>
      <w:r w:rsidRPr="00C007AD">
        <w:t xml:space="preserve">dismantling the engine fuel system components using specialised tools and test equipment and </w:t>
      </w:r>
      <w:r w:rsidRPr="00C007AD">
        <w:t>checking parts visually for abnormal wear or defects</w:t>
      </w:r>
    </w:p>
    <w:p w:rsidR="00000000" w:rsidRPr="00C007AD" w:rsidP="00C007AD">
      <w:pPr>
        <w:pStyle w:val="ListBullet"/>
      </w:pPr>
      <w:r w:rsidRPr="00C007AD">
        <w:t>identifying parts according to their original location in the pump/injector and protecting and storing them as required for reassembly</w:t>
      </w:r>
    </w:p>
    <w:p w:rsidR="00000000" w:rsidRPr="00C007AD" w:rsidP="00C007AD">
      <w:pPr>
        <w:pStyle w:val="ListBullet"/>
      </w:pPr>
      <w:r w:rsidRPr="00C007AD">
        <w:t>undertaking calculations and numerical operations for overhauling en</w:t>
      </w:r>
      <w:r w:rsidRPr="00C007AD">
        <w:t>gine fuel system components</w:t>
      </w:r>
    </w:p>
    <w:p w:rsidR="00000000" w:rsidRPr="00C007AD" w:rsidP="00C007AD">
      <w:pPr>
        <w:pStyle w:val="ListBullet"/>
      </w:pPr>
      <w:r w:rsidRPr="00C007AD">
        <w:t>measuring and recording fuel system components using appropriate measuring equipment</w:t>
      </w:r>
    </w:p>
    <w:p w:rsidR="00000000" w:rsidRPr="00C007AD" w:rsidP="00C007AD">
      <w:pPr>
        <w:pStyle w:val="ListBullet"/>
      </w:pPr>
      <w:r w:rsidRPr="00C007AD">
        <w:t>assessing components and parts for serviceability or replacement</w:t>
      </w:r>
    </w:p>
    <w:p w:rsidR="00000000" w:rsidRPr="00C007AD" w:rsidP="00C007AD">
      <w:pPr>
        <w:pStyle w:val="ListBullet"/>
      </w:pPr>
      <w:r w:rsidRPr="00C007AD">
        <w:t xml:space="preserve">reconditioning, assembling and replacing components according to manufacturer </w:t>
      </w:r>
      <w:r w:rsidRPr="00C007AD">
        <w:t xml:space="preserve">specifications </w:t>
      </w:r>
    </w:p>
    <w:p w:rsidR="00000000" w:rsidRPr="00C007AD" w:rsidP="00C007AD">
      <w:pPr>
        <w:pStyle w:val="ListBullet"/>
      </w:pPr>
      <w:r w:rsidRPr="00C007AD">
        <w:t>testing operation of reconditioned components to specifications.</w:t>
      </w:r>
    </w:p>
    <w:p w:rsidR="00000000" w:rsidRPr="00C007AD" w:rsidP="00C007AD">
      <w:pPr>
        <w:pStyle w:val="AllowPageBreak"/>
      </w:pPr>
    </w:p>
    <w:p w:rsidR="00000000" w:rsidRPr="00C007AD" w:rsidP="00C007AD">
      <w:pPr>
        <w:pStyle w:val="Heading1"/>
      </w:pPr>
      <w:bookmarkStart w:id="3" w:name="O_951595"/>
      <w:bookmarkEnd w:id="3"/>
      <w:r w:rsidRPr="00C007AD">
        <w:t>Knowledge Evidence</w:t>
      </w:r>
    </w:p>
    <w:p w:rsidR="00000000" w:rsidRPr="00C007AD" w:rsidP="00B713FC">
      <w:pPr>
        <w:pStyle w:val="BodyText"/>
      </w:pPr>
      <w:r w:rsidRPr="00C007AD">
        <w:t xml:space="preserve">Evidence required to demonstrate the required knowledge for this unit must be relevant to and satisfy the requirements of the elements and </w:t>
      </w:r>
      <w:r w:rsidRPr="00C007AD">
        <w:t>performance criteria and include knowledge of:</w:t>
      </w:r>
    </w:p>
    <w:p w:rsidR="00000000" w:rsidRPr="00C007AD" w:rsidP="00C007AD">
      <w:pPr>
        <w:pStyle w:val="ListBullet"/>
      </w:pPr>
      <w:r w:rsidRPr="00C007AD">
        <w:t>safe work practices and procedures and use of personal protective equipment (PPE)</w:t>
      </w:r>
    </w:p>
    <w:p w:rsidR="00000000" w:rsidRPr="00C007AD" w:rsidP="00C007AD">
      <w:pPr>
        <w:pStyle w:val="ListBullet"/>
      </w:pPr>
      <w:r w:rsidRPr="00C007AD">
        <w:t xml:space="preserve">sequence for disassembling engine fuel components </w:t>
      </w:r>
    </w:p>
    <w:p w:rsidR="00000000" w:rsidRPr="00C007AD" w:rsidP="00C007AD">
      <w:pPr>
        <w:pStyle w:val="ListBullet"/>
      </w:pPr>
      <w:r w:rsidRPr="00C007AD">
        <w:t xml:space="preserve">specialised tools required and their application </w:t>
      </w:r>
    </w:p>
    <w:p w:rsidR="00000000" w:rsidRPr="00C007AD" w:rsidP="00C007AD">
      <w:pPr>
        <w:pStyle w:val="ListBullet"/>
      </w:pPr>
      <w:r w:rsidRPr="00C007AD">
        <w:t xml:space="preserve">common defects, examples </w:t>
      </w:r>
      <w:r w:rsidRPr="00C007AD">
        <w:t xml:space="preserve">and causes of abnormal wear </w:t>
      </w:r>
    </w:p>
    <w:p w:rsidR="00000000" w:rsidRPr="00C007AD" w:rsidP="00C007AD">
      <w:pPr>
        <w:pStyle w:val="ListBullet"/>
      </w:pPr>
      <w:r w:rsidRPr="00C007AD">
        <w:t>characteristics of surface finishes and wear patterns for fuel system components</w:t>
      </w:r>
    </w:p>
    <w:p w:rsidR="00000000" w:rsidRPr="00C007AD" w:rsidP="00C007AD">
      <w:pPr>
        <w:pStyle w:val="ListBullet"/>
      </w:pPr>
      <w:r w:rsidRPr="00C007AD">
        <w:t xml:space="preserve">method of cleaning fuel system components </w:t>
      </w:r>
    </w:p>
    <w:p w:rsidR="00000000" w:rsidRPr="00C007AD" w:rsidP="00C007AD">
      <w:pPr>
        <w:pStyle w:val="ListBullet"/>
      </w:pPr>
      <w:r w:rsidRPr="00C007AD">
        <w:t>appropriate solvents for cleaning fuel systems</w:t>
      </w:r>
    </w:p>
    <w:p w:rsidR="00000000" w:rsidRPr="00C007AD" w:rsidP="00C007AD">
      <w:pPr>
        <w:pStyle w:val="ListBullet"/>
      </w:pPr>
      <w:r w:rsidRPr="00C007AD">
        <w:t>procedures for:</w:t>
      </w:r>
    </w:p>
    <w:p w:rsidR="00000000" w:rsidRPr="00C007AD" w:rsidP="00C007AD">
      <w:pPr>
        <w:pStyle w:val="ListBullet2"/>
      </w:pPr>
      <w:r w:rsidRPr="00C007AD">
        <w:t xml:space="preserve">cleaning, protecting and storing fuel system components </w:t>
      </w:r>
    </w:p>
    <w:p w:rsidR="00000000" w:rsidRPr="00C007AD" w:rsidP="00C007AD">
      <w:pPr>
        <w:pStyle w:val="ListBullet2"/>
      </w:pPr>
      <w:r w:rsidRPr="00C007AD">
        <w:t>marking fuel system components in readiness for reassembly</w:t>
      </w:r>
    </w:p>
    <w:p w:rsidR="00000000" w:rsidRPr="00C007AD" w:rsidP="00C007AD">
      <w:pPr>
        <w:pStyle w:val="ListBullet2"/>
      </w:pPr>
      <w:r w:rsidRPr="00C007AD">
        <w:t>recording fuel system component measurements</w:t>
      </w:r>
    </w:p>
    <w:p w:rsidR="00000000" w:rsidRPr="00C007AD" w:rsidP="00C007AD">
      <w:pPr>
        <w:pStyle w:val="ListBullet2"/>
      </w:pPr>
      <w:r w:rsidRPr="00C007AD">
        <w:t>reconditioning and/or replacing faulty fuel system components</w:t>
      </w:r>
    </w:p>
    <w:p w:rsidR="00000000" w:rsidRPr="00C007AD" w:rsidP="00C007AD">
      <w:pPr>
        <w:pStyle w:val="ListBullet2"/>
      </w:pPr>
      <w:r w:rsidRPr="00C007AD">
        <w:t>assembling and testing fuel syste</w:t>
      </w:r>
      <w:r w:rsidRPr="00C007AD">
        <w:t>m components</w:t>
      </w:r>
    </w:p>
    <w:p w:rsidR="00000000" w:rsidRPr="00C007AD" w:rsidP="00C007AD">
      <w:pPr>
        <w:pStyle w:val="ListBullet2"/>
      </w:pPr>
      <w:r w:rsidRPr="00C007AD">
        <w:t>setting fuel system components</w:t>
      </w:r>
    </w:p>
    <w:p w:rsidR="00000000" w:rsidRPr="00C007AD" w:rsidP="00C007AD">
      <w:pPr>
        <w:pStyle w:val="ListBullet"/>
      </w:pPr>
      <w:r w:rsidRPr="00C007AD">
        <w:t xml:space="preserve">measuring instruments to be used to measure fuel system components and reasons for selecting the chosen measuring instruments </w:t>
      </w:r>
    </w:p>
    <w:p w:rsidR="00000000" w:rsidRPr="00C007AD" w:rsidP="00C007AD">
      <w:pPr>
        <w:pStyle w:val="ListBullet"/>
      </w:pPr>
      <w:r w:rsidRPr="00C007AD">
        <w:t xml:space="preserve">principles of operation of diesel fuel systems </w:t>
      </w:r>
    </w:p>
    <w:p w:rsidR="00000000" w:rsidRPr="00C007AD" w:rsidP="00C007AD">
      <w:pPr>
        <w:pStyle w:val="ListBullet"/>
      </w:pPr>
      <w:r w:rsidRPr="00C007AD">
        <w:t>specifications of the fuel system co</w:t>
      </w:r>
      <w:r w:rsidRPr="00C007AD">
        <w:t xml:space="preserve">mponents </w:t>
      </w:r>
    </w:p>
    <w:p w:rsidR="00000000" w:rsidRPr="00C007AD" w:rsidP="00C007AD">
      <w:pPr>
        <w:pStyle w:val="ListBullet"/>
      </w:pPr>
      <w:r w:rsidRPr="00C007AD">
        <w:t>tools, techniques and equipment required to carry out fuel system component tests.</w:t>
      </w:r>
    </w:p>
    <w:p w:rsidR="00000000" w:rsidRPr="00C007AD" w:rsidP="00C007AD">
      <w:pPr>
        <w:pStyle w:val="AllowPageBreak"/>
      </w:pPr>
    </w:p>
    <w:p w:rsidR="00000000" w:rsidRPr="00C007AD" w:rsidP="00C007AD">
      <w:pPr>
        <w:pStyle w:val="Heading1"/>
      </w:pPr>
      <w:bookmarkStart w:id="4" w:name="O_951594"/>
      <w:bookmarkEnd w:id="4"/>
      <w:r w:rsidRPr="00C007AD">
        <w:t>Assessment Conditions</w:t>
      </w:r>
    </w:p>
    <w:p w:rsidR="00000000" w:rsidRPr="00C007AD" w:rsidP="00C007AD">
      <w:pPr>
        <w:pStyle w:val="ListBullet"/>
      </w:pPr>
      <w:r w:rsidRPr="00C007AD">
        <w:t>Assessors must:</w:t>
      </w:r>
    </w:p>
    <w:p w:rsidR="00000000" w:rsidRPr="00C007AD" w:rsidP="00C007AD">
      <w:pPr>
        <w:pStyle w:val="ListBullet2"/>
      </w:pPr>
      <w:r w:rsidRPr="00C007AD">
        <w:t xml:space="preserve">have vocational competency in overhauling engine fuel system components at least to the level being </w:t>
      </w:r>
      <w:r w:rsidRPr="00C007AD">
        <w:t>assessed with relevant industry knowledge and experience</w:t>
      </w:r>
    </w:p>
    <w:p w:rsidR="00000000" w:rsidRPr="00C007AD" w:rsidP="00C007AD">
      <w:pPr>
        <w:pStyle w:val="ListBullet2"/>
      </w:pPr>
      <w:r w:rsidRPr="00C007AD">
        <w:t xml:space="preserve">satisfy the assessor requirements in the </w:t>
      </w:r>
      <w:r w:rsidRPr="00C007AD">
        <w:rPr>
          <w:rStyle w:val="Emphasis"/>
        </w:rPr>
        <w:t xml:space="preserve">Standards for Registered Training Organisations 2015 </w:t>
      </w:r>
      <w:r w:rsidRPr="00C007AD">
        <w:t>or its replacement</w:t>
      </w:r>
      <w:r w:rsidRPr="00C007AD">
        <w:rPr>
          <w:rStyle w:val="Emphasis"/>
        </w:rPr>
        <w:t xml:space="preserve"> </w:t>
      </w:r>
      <w:r w:rsidRPr="00C007AD">
        <w:t xml:space="preserve">and comply with the </w:t>
      </w:r>
      <w:r w:rsidRPr="00C007AD">
        <w:rPr>
          <w:rStyle w:val="Emphasis"/>
        </w:rPr>
        <w:t xml:space="preserve">National Vocational Education and Training Regulator Act 2011, </w:t>
      </w:r>
      <w:r w:rsidRPr="00C007AD">
        <w:t>its</w:t>
      </w:r>
      <w:r w:rsidRPr="00C007AD">
        <w:t xml:space="preserve"> replacement</w:t>
      </w:r>
      <w:r w:rsidRPr="00C007AD">
        <w:rPr>
          <w:rStyle w:val="Emphasis"/>
        </w:rPr>
        <w:t xml:space="preserve"> </w:t>
      </w:r>
      <w:r w:rsidRPr="00C007AD">
        <w:t>or equivalent legislation covering VET regulation in a non-referring state/territory as the case requires</w:t>
      </w:r>
    </w:p>
    <w:p w:rsidR="00000000" w:rsidRPr="00C007AD" w:rsidP="00C007AD">
      <w:pPr>
        <w:pStyle w:val="ListBullet"/>
      </w:pPr>
      <w:r w:rsidRPr="00C007AD">
        <w:t>Where possible assessment must occur in operational workplace situations. Where this is not possible or where personal safety or environ</w:t>
      </w:r>
      <w:r w:rsidRPr="00C007AD">
        <w:t>mental damage are limiting factors, assessment must occur in a sufficiently rigorous simulated environment that reflects realistic operational workplace conditions. This must cover all aspects of workplace performance, including environment, task skills, t</w:t>
      </w:r>
      <w:r w:rsidRPr="00C007AD">
        <w:t>ask management skills, contingency management skills and job role environment skills</w:t>
      </w:r>
    </w:p>
    <w:p w:rsidR="00000000" w:rsidRPr="00C007AD" w:rsidP="00C007AD">
      <w:pPr>
        <w:pStyle w:val="ListBullet"/>
      </w:pPr>
      <w:r w:rsidRPr="00C007AD">
        <w:t>Conditions for assessment must include access to all tools, equipment, materials and documentation required, including relevant workplace procedures, product and manufactu</w:t>
      </w:r>
      <w:r w:rsidRPr="00C007AD">
        <w:t>ring specifications</w:t>
      </w:r>
    </w:p>
    <w:p w:rsidR="00000000" w:rsidRPr="00C007AD" w:rsidP="00C007AD">
      <w:pPr>
        <w:pStyle w:val="ListBullet"/>
      </w:pPr>
      <w:r w:rsidRPr="00C007AD">
        <w:t>Assessment processes and techniques must be appropriate to the language, literacy and numeracy requirements of the work being performed and the needs of the candidate.</w:t>
      </w:r>
    </w:p>
    <w:p w:rsidR="00000000" w:rsidRPr="00C007AD" w:rsidP="00C007AD">
      <w:pPr>
        <w:pStyle w:val="AllowPageBreak"/>
      </w:pPr>
    </w:p>
    <w:p w:rsidR="00000000" w:rsidRPr="00C007AD" w:rsidP="00C007AD">
      <w:pPr>
        <w:pStyle w:val="Heading1"/>
      </w:pPr>
      <w:bookmarkStart w:id="5" w:name="O_951592"/>
      <w:bookmarkEnd w:id="5"/>
      <w:r w:rsidRPr="00C007AD">
        <w:t>Links</w:t>
      </w:r>
    </w:p>
    <w:p w:rsidR="00000000" w:rsidRPr="00C007AD" w:rsidP="00B713FC">
      <w:pPr>
        <w:pStyle w:val="BodyText"/>
      </w:pPr>
      <w:r w:rsidRPr="00C007AD">
        <w:t>Companion Volume implementation guides are fo</w:t>
      </w:r>
      <w:r w:rsidRPr="00C007AD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21D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07AD" w:rsidP="00C007AD"/>
    <w:sectPr w:rsidSect="00C007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AD" w:rsidRPr="00B713FC" w:rsidP="00B71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FC" w:rsidP="00C00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3FC" w:rsidP="00C00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13FC" w:rsidP="00C00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7AD" w:rsidRPr="00B713FC" w:rsidP="00B71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FC" w:rsidRPr="002D2AF8" w:rsidP="00C00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MEM27003 Overhaul engine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13FC" w:rsidP="00C00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69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A84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EA4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7AD"/>
  </w:style>
  <w:style w:type="character" w:customStyle="1" w:styleId="Heading1Char">
    <w:name w:val="Heading 1 Char"/>
    <w:basedOn w:val="DefaultParagraphFont"/>
    <w:link w:val="Heading1"/>
    <w:rsid w:val="00C00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7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7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7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07AD"/>
    <w:rPr>
      <w:i/>
    </w:rPr>
  </w:style>
  <w:style w:type="paragraph" w:customStyle="1" w:styleId="SuperHeading">
    <w:name w:val="SuperHeading"/>
    <w:basedOn w:val="Normal"/>
    <w:rsid w:val="00C00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7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7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7AD"/>
    <w:rPr>
      <w:b/>
      <w:spacing w:val="0"/>
    </w:rPr>
  </w:style>
  <w:style w:type="paragraph" w:customStyle="1" w:styleId="SuperTitle">
    <w:name w:val="SuperTitle"/>
    <w:basedOn w:val="Title"/>
    <w:rsid w:val="00C00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7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7AD"/>
  </w:style>
  <w:style w:type="paragraph" w:styleId="TableofFigures">
    <w:name w:val="table of figures"/>
    <w:basedOn w:val="Normal"/>
    <w:next w:val="Normal"/>
    <w:semiHidden/>
    <w:rsid w:val="00C00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7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7AD"/>
    <w:rPr>
      <w:rFonts w:ascii="Wingdings" w:hAnsi="Wingdings"/>
    </w:rPr>
  </w:style>
  <w:style w:type="paragraph" w:customStyle="1" w:styleId="TableHeading">
    <w:name w:val="Table Heading"/>
    <w:basedOn w:val="HeadingBase"/>
    <w:rsid w:val="00C00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7AD"/>
    <w:rPr>
      <w:color w:val="0033CC"/>
      <w:u w:val="none"/>
    </w:rPr>
  </w:style>
  <w:style w:type="paragraph" w:customStyle="1" w:styleId="BodyTextRight">
    <w:name w:val="Body Text Right"/>
    <w:basedOn w:val="BodyText"/>
    <w:rsid w:val="00C00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7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7AD"/>
    <w:rPr>
      <w:sz w:val="32"/>
    </w:rPr>
  </w:style>
  <w:style w:type="paragraph" w:customStyle="1" w:styleId="HeadingProcedure">
    <w:name w:val="Heading Procedure"/>
    <w:basedOn w:val="HeadingBase"/>
    <w:next w:val="Normal"/>
    <w:rsid w:val="00C00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7AD"/>
    <w:pPr>
      <w:spacing w:before="60" w:after="60"/>
    </w:pPr>
  </w:style>
  <w:style w:type="paragraph" w:styleId="ListContinue">
    <w:name w:val="List Continue"/>
    <w:basedOn w:val="List"/>
    <w:rsid w:val="00C007AD"/>
    <w:pPr>
      <w:ind w:firstLine="0"/>
    </w:pPr>
  </w:style>
  <w:style w:type="paragraph" w:customStyle="1" w:styleId="ListNote">
    <w:name w:val="List Note"/>
    <w:basedOn w:val="List"/>
    <w:rsid w:val="00C00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7AD"/>
    <w:rPr>
      <w:rFonts w:ascii="Courier New" w:hAnsi="Courier New"/>
    </w:rPr>
  </w:style>
  <w:style w:type="paragraph" w:customStyle="1" w:styleId="NoteBullet">
    <w:name w:val="Note Bullet"/>
    <w:basedOn w:val="Note"/>
    <w:rsid w:val="00C00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7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7AD"/>
    <w:rPr>
      <w:b/>
      <w:smallCaps/>
    </w:rPr>
  </w:style>
  <w:style w:type="paragraph" w:customStyle="1" w:styleId="TableListNumber">
    <w:name w:val="Table List Number"/>
    <w:basedOn w:val="ListNumber"/>
    <w:rsid w:val="00C00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7AD"/>
    <w:pPr>
      <w:numPr>
        <w:numId w:val="9"/>
      </w:numPr>
    </w:pPr>
  </w:style>
  <w:style w:type="paragraph" w:customStyle="1" w:styleId="ListAlpha2">
    <w:name w:val="List Alpha 2"/>
    <w:basedOn w:val="List2"/>
    <w:rsid w:val="00C007AD"/>
    <w:pPr>
      <w:numPr>
        <w:numId w:val="8"/>
      </w:numPr>
    </w:pPr>
  </w:style>
  <w:style w:type="paragraph" w:styleId="List2">
    <w:name w:val="List 2"/>
    <w:basedOn w:val="BodyText"/>
    <w:rsid w:val="00C00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7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7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7AD"/>
    <w:pPr>
      <w:numPr>
        <w:numId w:val="4"/>
      </w:numPr>
    </w:pPr>
  </w:style>
  <w:style w:type="paragraph" w:styleId="ListContinue2">
    <w:name w:val="List Continue 2"/>
    <w:basedOn w:val="List2"/>
    <w:rsid w:val="00C007AD"/>
    <w:pPr>
      <w:ind w:firstLine="0"/>
    </w:pPr>
  </w:style>
  <w:style w:type="paragraph" w:styleId="ListContinue3">
    <w:name w:val="List Continue 3"/>
    <w:basedOn w:val="List3"/>
    <w:rsid w:val="00C007AD"/>
    <w:pPr>
      <w:ind w:left="1021" w:firstLine="0"/>
    </w:pPr>
  </w:style>
  <w:style w:type="paragraph" w:styleId="ListContinue4">
    <w:name w:val="List Continue 4"/>
    <w:basedOn w:val="List4"/>
    <w:rsid w:val="00C007AD"/>
    <w:pPr>
      <w:ind w:firstLine="0"/>
    </w:pPr>
  </w:style>
  <w:style w:type="paragraph" w:styleId="ListContinue5">
    <w:name w:val="List Continue 5"/>
    <w:basedOn w:val="List5"/>
    <w:rsid w:val="00C007AD"/>
    <w:pPr>
      <w:ind w:firstLine="0"/>
    </w:pPr>
  </w:style>
  <w:style w:type="paragraph" w:styleId="ListNumber3">
    <w:name w:val="List Number 3"/>
    <w:basedOn w:val="List3"/>
    <w:rsid w:val="00C007AD"/>
    <w:pPr>
      <w:numPr>
        <w:numId w:val="5"/>
      </w:numPr>
    </w:pPr>
  </w:style>
  <w:style w:type="paragraph" w:styleId="ListNumber4">
    <w:name w:val="List Number 4"/>
    <w:basedOn w:val="List4"/>
    <w:rsid w:val="00C007AD"/>
    <w:pPr>
      <w:numPr>
        <w:numId w:val="6"/>
      </w:numPr>
    </w:pPr>
  </w:style>
  <w:style w:type="paragraph" w:styleId="ListNumber5">
    <w:name w:val="List Number 5"/>
    <w:basedOn w:val="List5"/>
    <w:rsid w:val="00C007AD"/>
    <w:pPr>
      <w:numPr>
        <w:numId w:val="7"/>
      </w:numPr>
    </w:pPr>
  </w:style>
  <w:style w:type="paragraph" w:styleId="BlockText">
    <w:name w:val="Block Text"/>
    <w:basedOn w:val="Normal"/>
    <w:rsid w:val="00C00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7AD"/>
    <w:rPr>
      <w:sz w:val="16"/>
      <w:vertAlign w:val="superscript"/>
    </w:rPr>
  </w:style>
  <w:style w:type="character" w:customStyle="1" w:styleId="Symbols">
    <w:name w:val="Symbols"/>
    <w:basedOn w:val="DefaultParagraphFont"/>
    <w:rsid w:val="00C007AD"/>
    <w:rPr>
      <w:rFonts w:ascii="Symbol" w:hAnsi="Symbol"/>
    </w:rPr>
  </w:style>
  <w:style w:type="character" w:customStyle="1" w:styleId="MenuOptions">
    <w:name w:val="Menu Options"/>
    <w:basedOn w:val="DefaultParagraphFont"/>
    <w:rsid w:val="00C00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7AD"/>
    <w:rPr>
      <w:b/>
    </w:rPr>
  </w:style>
  <w:style w:type="character" w:customStyle="1" w:styleId="Underlined">
    <w:name w:val="Underlined"/>
    <w:basedOn w:val="DefaultParagraphFont"/>
    <w:rsid w:val="00C007AD"/>
    <w:rPr>
      <w:u w:val="single"/>
    </w:rPr>
  </w:style>
  <w:style w:type="paragraph" w:customStyle="1" w:styleId="TableBodyTextRight">
    <w:name w:val="Table Body Text Right"/>
    <w:basedOn w:val="TableBodyText"/>
    <w:rsid w:val="00C00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7AD"/>
    <w:rPr>
      <w:sz w:val="18"/>
    </w:rPr>
  </w:style>
  <w:style w:type="paragraph" w:customStyle="1" w:styleId="BodySmallRight">
    <w:name w:val="Body Small Right"/>
    <w:basedOn w:val="BodyTextRight"/>
    <w:rsid w:val="00C007AD"/>
    <w:rPr>
      <w:sz w:val="18"/>
      <w:szCs w:val="18"/>
    </w:rPr>
  </w:style>
  <w:style w:type="paragraph" w:customStyle="1" w:styleId="MarginEdition">
    <w:name w:val="Margin Edition"/>
    <w:basedOn w:val="MarginNote"/>
    <w:rsid w:val="00C00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7AD"/>
    <w:rPr>
      <w:sz w:val="2"/>
      <w:szCs w:val="2"/>
    </w:rPr>
  </w:style>
  <w:style w:type="character" w:customStyle="1" w:styleId="Small">
    <w:name w:val="Small"/>
    <w:basedOn w:val="DefaultParagraphFont"/>
    <w:rsid w:val="00C007AD"/>
    <w:rPr>
      <w:sz w:val="16"/>
    </w:rPr>
  </w:style>
  <w:style w:type="paragraph" w:customStyle="1" w:styleId="WideTable">
    <w:name w:val="Wide Table"/>
    <w:basedOn w:val="Normal"/>
    <w:rsid w:val="00C00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7AD"/>
  </w:style>
  <w:style w:type="paragraph" w:styleId="Quote">
    <w:name w:val="Quote"/>
    <w:basedOn w:val="Heading1"/>
    <w:link w:val="QuoteChar"/>
    <w:qFormat/>
    <w:rsid w:val="00C00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7AD"/>
    <w:pPr>
      <w:pageBreakBefore/>
    </w:pPr>
  </w:style>
  <w:style w:type="paragraph" w:customStyle="1" w:styleId="Border">
    <w:name w:val="Border"/>
    <w:basedOn w:val="Normal"/>
    <w:qFormat/>
    <w:rsid w:val="00C00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7AD"/>
    <w:rPr>
      <w:u w:val="single"/>
    </w:rPr>
  </w:style>
  <w:style w:type="character" w:customStyle="1" w:styleId="BoldandItalics">
    <w:name w:val="Bold and Italics"/>
    <w:qFormat/>
    <w:rsid w:val="00C007AD"/>
    <w:rPr>
      <w:b/>
      <w:i/>
      <w:u w:val="none"/>
    </w:rPr>
  </w:style>
  <w:style w:type="paragraph" w:styleId="BalloonText">
    <w:name w:val="Balloon Text"/>
    <w:basedOn w:val="Normal"/>
    <w:link w:val="BalloonTextChar"/>
    <w:rsid w:val="00C00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7AD"/>
    <w:pPr>
      <w:spacing w:before="0" w:after="0"/>
    </w:pPr>
  </w:style>
  <w:style w:type="paragraph" w:customStyle="1" w:styleId="BodyTextBold">
    <w:name w:val="Body Text Bold"/>
    <w:basedOn w:val="BodyText"/>
    <w:qFormat/>
    <w:rsid w:val="00C007AD"/>
    <w:rPr>
      <w:b/>
    </w:rPr>
  </w:style>
  <w:style w:type="character" w:styleId="Hyperlink">
    <w:name w:val="Hyperlink"/>
    <w:basedOn w:val="DefaultParagraphFont"/>
    <w:uiPriority w:val="99"/>
    <w:unhideWhenUsed/>
    <w:rsid w:val="00B71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3756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MEM27003 Overhaul engine fuel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