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102" w:rsidP="00E531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MEM26020 Identify and interpret required standards for composites</w:t>
      </w:r>
      <w:r>
        <w:fldChar w:fldCharType="end"/>
      </w:r>
    </w:p>
    <w:p w:rsidR="00E53102" w:rsidP="00E53102">
      <w:pPr>
        <w:pStyle w:val="Version"/>
        <w:sectPr w:rsidSect="009F2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A89" w:rsidP="009F2A89">
      <w:pPr>
        <w:pStyle w:val="SuperHeading"/>
      </w:pPr>
      <w:r w:rsidRPr="009F2A89">
        <w:t>MEM26020 Identify and interpret required standards for composites</w:t>
      </w:r>
    </w:p>
    <w:p w:rsidR="00000000" w:rsidRPr="009F2A89" w:rsidP="009F2A89">
      <w:pPr>
        <w:pStyle w:val="Heading1"/>
      </w:pPr>
      <w:bookmarkStart w:id="1" w:name="O_952357"/>
      <w:bookmarkEnd w:id="1"/>
      <w:r w:rsidRPr="009F2A89">
        <w:t>Modification History</w:t>
      </w:r>
    </w:p>
    <w:p w:rsidR="00000000" w:rsidRPr="009F2A89" w:rsidP="00E53102">
      <w:pPr>
        <w:pStyle w:val="BodyText"/>
      </w:pPr>
      <w:r w:rsidRPr="009F2A89">
        <w:t xml:space="preserve">Release 1. Supersedes and is equivalent to MEM26020A Identify and interpret required standards for composites </w:t>
      </w:r>
    </w:p>
    <w:p w:rsidR="00000000" w:rsidRPr="009F2A89" w:rsidP="009F2A89">
      <w:pPr>
        <w:pStyle w:val="Heading1"/>
      </w:pPr>
      <w:bookmarkStart w:id="2" w:name="O_952365"/>
      <w:bookmarkEnd w:id="2"/>
      <w:r w:rsidRPr="009F2A89">
        <w:t>Application</w:t>
      </w:r>
    </w:p>
    <w:p w:rsidR="00000000" w:rsidRPr="009F2A89" w:rsidP="00E53102">
      <w:pPr>
        <w:pStyle w:val="BodyText"/>
      </w:pPr>
      <w:r w:rsidRPr="009F2A89">
        <w:t>This un</w:t>
      </w:r>
      <w:r w:rsidRPr="009F2A89">
        <w:t xml:space="preserve">it of competency defines the skills and knowledge required to identify and select relevant standards for a job that may be relevant to the redesign of an existing product (e.g. using a different process), the design of a new product similar to an existing </w:t>
      </w:r>
      <w:r w:rsidRPr="009F2A89">
        <w:t>product, or the undertaking of a repair.</w:t>
      </w:r>
    </w:p>
    <w:p w:rsidR="00000000" w:rsidRPr="009F2A89" w:rsidP="00E53102">
      <w:pPr>
        <w:pStyle w:val="BodyText"/>
      </w:pPr>
      <w:r w:rsidRPr="009F2A89">
        <w:t>No licensing, legislative or certification requirements apply to this unit at the time of publication.</w:t>
      </w:r>
    </w:p>
    <w:p w:rsidR="00000000" w:rsidRPr="009F2A89" w:rsidP="009F2A89">
      <w:pPr>
        <w:pStyle w:val="BodyText"/>
      </w:pPr>
      <w:r w:rsidRPr="009F2A89">
        <w:rPr>
          <w:rStyle w:val="SpecialBold"/>
        </w:rPr>
        <w:t>Band</w:t>
      </w:r>
      <w:r w:rsidRPr="009F2A89">
        <w:t>:</w:t>
      </w:r>
      <w:r w:rsidRPr="009F2A89">
        <w:tab/>
      </w:r>
      <w:r w:rsidRPr="009F2A89">
        <w:rPr>
          <w:rStyle w:val="SpecialBold"/>
        </w:rPr>
        <w:t>A</w:t>
      </w:r>
    </w:p>
    <w:p w:rsidR="00000000" w:rsidRPr="009F2A89" w:rsidP="009F2A89">
      <w:pPr>
        <w:pStyle w:val="BodyText"/>
      </w:pPr>
      <w:r w:rsidRPr="009F2A89">
        <w:rPr>
          <w:rStyle w:val="SpecialBold"/>
        </w:rPr>
        <w:t>Unit Weight:</w:t>
      </w:r>
      <w:r w:rsidRPr="009F2A89">
        <w:rPr>
          <w:rStyle w:val="SpecialBold"/>
        </w:rPr>
        <w:tab/>
        <w:t>4</w:t>
      </w: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3" w:name="O_952364"/>
      <w:bookmarkEnd w:id="3"/>
      <w:r w:rsidRPr="009F2A8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Work safely and effectively in manufacturi</w:t>
            </w:r>
            <w:r w:rsidRPr="009F2A89">
              <w:t>ng and engineering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BodyText"/>
            </w:pPr>
            <w:r w:rsidRPr="009F2A89">
              <w:t>Organise and communicate information</w:t>
            </w:r>
          </w:p>
        </w:tc>
      </w:tr>
    </w:tbl>
    <w:p w:rsidR="00000000" w:rsidRPr="009F2A89" w:rsidP="009F2A89">
      <w:pPr>
        <w:pStyle w:val="BodyText"/>
      </w:pP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4" w:name="O_952363"/>
      <w:bookmarkEnd w:id="4"/>
      <w:r w:rsidRPr="009F2A89">
        <w:t>Competency Field</w:t>
      </w:r>
    </w:p>
    <w:p w:rsidR="00000000" w:rsidRPr="009F2A89" w:rsidP="00E53102">
      <w:pPr>
        <w:pStyle w:val="BodyText"/>
      </w:pPr>
      <w:r w:rsidRPr="009F2A89">
        <w:t>Composites</w:t>
      </w:r>
    </w:p>
    <w:p w:rsidR="00000000" w:rsidRPr="009F2A89" w:rsidP="009F2A89">
      <w:pPr>
        <w:pStyle w:val="Heading1"/>
      </w:pPr>
      <w:bookmarkStart w:id="5" w:name="O_952361"/>
      <w:bookmarkEnd w:id="5"/>
      <w:r w:rsidRPr="009F2A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Performance criteria describe the performance needed to demonstrate achievement of the element.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BodyText"/>
            </w:pPr>
            <w:r w:rsidRPr="009F2A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Follow standard operating procedures (SOPs)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Comply with work health and safety (WHS) requirements at all times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Review available standards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Identify and select the appropriate standard that may have relevance to the job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Interpret standard and application of standard to the job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Compile specifications which will ensure job meets standard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BodyText"/>
            </w:pPr>
            <w:r w:rsidRPr="009F2A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rPr>
                <w:rStyle w:val="SpecialBold"/>
              </w:rPr>
              <w:t>Undertake required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Ensure procedures will produce a product which meets standard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Ensure any required testing/metrics gathering is undertaken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Monitor production to ensure it complies with the procedures and minimise waste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BodyText"/>
            </w:pPr>
            <w:r w:rsidRPr="009F2A8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rPr>
                <w:rStyle w:val="SpecialBold"/>
              </w:rPr>
              <w:t>Check conformance to standard,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Check final product complies with the standard, as required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Identify areas for improvement and take appropriate actions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BodyText"/>
            </w:pPr>
            <w:r w:rsidRPr="009F2A89">
              <w:t>Complete any required documentation/reporting according to SOPs</w:t>
            </w:r>
          </w:p>
        </w:tc>
      </w:tr>
    </w:tbl>
    <w:p w:rsidR="00000000" w:rsidRPr="009F2A89" w:rsidP="009F2A89">
      <w:pPr>
        <w:pStyle w:val="BodyText"/>
      </w:pP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6" w:name="O_952360"/>
      <w:bookmarkEnd w:id="6"/>
      <w:r w:rsidRPr="009F2A89">
        <w:t>Foundation Skills</w:t>
      </w:r>
    </w:p>
    <w:p w:rsidR="00000000" w:rsidRPr="009F2A89" w:rsidP="00E53102">
      <w:pPr>
        <w:pStyle w:val="BodyText"/>
      </w:pPr>
      <w:r w:rsidRPr="009F2A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F2A89" w:rsidP="00E53102">
      <w:pPr>
        <w:pStyle w:val="BodyText"/>
      </w:pPr>
      <w:r w:rsidRPr="009F2A89">
        <w:t>Foundation skills essential to performance are explicit in</w:t>
      </w:r>
      <w:r w:rsidRPr="009F2A89">
        <w:t xml:space="preserve"> the performance criteria of this unit of competency.</w:t>
      </w:r>
    </w:p>
    <w:p w:rsidR="00000000" w:rsidRPr="009F2A89" w:rsidP="009F2A89">
      <w:pPr>
        <w:pStyle w:val="Heading1"/>
      </w:pPr>
      <w:bookmarkStart w:id="7" w:name="O_952359"/>
      <w:bookmarkEnd w:id="7"/>
      <w:r w:rsidRPr="009F2A8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t>This field allows for different work environments and conditions that may affect performance. Essential operating conditions that may be present (depending on the wo</w:t>
            </w:r>
            <w:r w:rsidRPr="009F2A89">
              <w:t>rk situation, needs of the candidate, accessibility of the item, and local industry and regional contexts) are included.</w:t>
            </w:r>
          </w:p>
        </w:tc>
      </w:tr>
      <w:tr w:rsidTr="009F2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A89">
            <w:pPr>
              <w:pStyle w:val="BodyText"/>
              <w:rPr>
                <w:lang w:val="en-NZ"/>
              </w:rPr>
            </w:pPr>
            <w:r w:rsidRPr="009F2A89">
              <w:rPr>
                <w:rStyle w:val="SpecialBold"/>
              </w:rPr>
              <w:t>Standards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A89" w:rsidP="009F2A89">
            <w:pPr>
              <w:pStyle w:val="ListBullet"/>
            </w:pPr>
            <w:r w:rsidRPr="009F2A89">
              <w:t>Australian Standards (AS)</w:t>
            </w:r>
          </w:p>
          <w:p w:rsidR="00000000" w:rsidRPr="009F2A89" w:rsidP="009F2A89">
            <w:pPr>
              <w:pStyle w:val="ListBullet"/>
            </w:pPr>
            <w:r w:rsidRPr="009F2A89">
              <w:t>International Standards Organisation (ISO)</w:t>
            </w:r>
          </w:p>
          <w:p w:rsidR="00000000" w:rsidRPr="009F2A89" w:rsidP="009F2A89">
            <w:pPr>
              <w:pStyle w:val="ListBullet"/>
            </w:pPr>
            <w:r w:rsidRPr="009F2A89">
              <w:t>original equipment manufacturer (OEM) specifications</w:t>
            </w:r>
          </w:p>
          <w:p w:rsidR="00000000" w:rsidRPr="009F2A89" w:rsidP="009F2A89">
            <w:pPr>
              <w:pStyle w:val="ListBullet"/>
            </w:pPr>
            <w:r w:rsidRPr="009F2A89">
              <w:t>Civil Aviation Safety Authority (CASA)</w:t>
            </w:r>
          </w:p>
          <w:p w:rsidR="00000000" w:rsidRPr="009F2A89" w:rsidP="009F2A89">
            <w:pPr>
              <w:pStyle w:val="ListBullet"/>
            </w:pPr>
            <w:r w:rsidRPr="009F2A89">
              <w:t>Department of Defence (DoD)</w:t>
            </w:r>
          </w:p>
          <w:p w:rsidR="00000000" w:rsidRPr="009F2A89" w:rsidP="009F2A89">
            <w:pPr>
              <w:pStyle w:val="ListBullet"/>
            </w:pPr>
            <w:r w:rsidRPr="009F2A89">
              <w:t xml:space="preserve">Australian Design Rules (ADR) </w:t>
            </w:r>
          </w:p>
          <w:p w:rsidR="00000000" w:rsidRPr="009F2A89" w:rsidP="009F2A89">
            <w:pPr>
              <w:pStyle w:val="BodyText"/>
            </w:pPr>
          </w:p>
        </w:tc>
      </w:tr>
    </w:tbl>
    <w:p w:rsidR="00000000" w:rsidRPr="009F2A89" w:rsidP="009F2A89">
      <w:pPr>
        <w:pStyle w:val="BodyText"/>
      </w:pP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8" w:name="O_952358"/>
      <w:bookmarkEnd w:id="8"/>
      <w:r w:rsidRPr="009F2A89">
        <w:t>Unit Mapping Information</w:t>
      </w:r>
    </w:p>
    <w:p w:rsidR="00000000" w:rsidRPr="009F2A89" w:rsidP="00E53102">
      <w:pPr>
        <w:pStyle w:val="BodyText"/>
      </w:pPr>
      <w:r w:rsidRPr="009F2A89">
        <w:t xml:space="preserve">Release 1. Supersedes and is equivalent to MEM26020A Identify and interpret required standards for composites </w:t>
      </w:r>
    </w:p>
    <w:p w:rsidR="00000000" w:rsidRPr="009F2A89" w:rsidP="009F2A89">
      <w:pPr>
        <w:pStyle w:val="Heading1"/>
      </w:pPr>
      <w:bookmarkStart w:id="9" w:name="O_952351"/>
      <w:bookmarkEnd w:id="9"/>
      <w:r w:rsidRPr="009F2A89">
        <w:t>Links</w:t>
      </w:r>
    </w:p>
    <w:p w:rsidR="00000000" w:rsidRPr="009F2A89" w:rsidP="00E53102">
      <w:pPr>
        <w:pStyle w:val="BodyText"/>
      </w:pPr>
      <w:r w:rsidRPr="009F2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B02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2A89" w:rsidP="00E53102">
      <w:pPr>
        <w:pStyle w:val="BodyText"/>
        <w:sectPr w:rsidSect="009F2A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A89" w:rsidP="009F2A89">
      <w:pPr>
        <w:pStyle w:val="SuperHeading"/>
      </w:pPr>
      <w:r w:rsidRPr="009F2A89">
        <w:t>Assessment Requirements for MEM26020 Identify and interpret required standards for composites</w:t>
      </w:r>
    </w:p>
    <w:p w:rsidR="00000000" w:rsidRPr="009F2A89" w:rsidP="009F2A89">
      <w:pPr>
        <w:pStyle w:val="Heading1"/>
      </w:pPr>
      <w:bookmarkStart w:id="10" w:name="O_952353"/>
      <w:bookmarkEnd w:id="10"/>
      <w:r w:rsidRPr="009F2A89">
        <w:t>Modification History</w:t>
      </w:r>
    </w:p>
    <w:p w:rsidR="00000000" w:rsidRPr="009F2A89" w:rsidP="00E53102">
      <w:pPr>
        <w:pStyle w:val="BodyText"/>
      </w:pPr>
      <w:r w:rsidRPr="009F2A89">
        <w:t>Release 1. Supersedes and is equivalent to MEM26020A I</w:t>
      </w:r>
      <w:r w:rsidRPr="009F2A89">
        <w:t xml:space="preserve">dentify and interpret required standards for composites </w:t>
      </w:r>
    </w:p>
    <w:p w:rsidR="00000000" w:rsidRPr="009F2A89" w:rsidP="009F2A89">
      <w:pPr>
        <w:pStyle w:val="Heading1"/>
      </w:pPr>
      <w:bookmarkStart w:id="11" w:name="O_952356"/>
      <w:bookmarkEnd w:id="11"/>
      <w:r w:rsidRPr="009F2A89">
        <w:t>Performance Evidence</w:t>
      </w:r>
    </w:p>
    <w:p w:rsidR="00000000" w:rsidRPr="009F2A89" w:rsidP="00E53102">
      <w:pPr>
        <w:pStyle w:val="BodyText"/>
      </w:pPr>
      <w:r w:rsidRPr="009F2A89">
        <w:t>Evidence required to demonstrate competence in this unit must be relevant to and satisfy the requirements of the elements and performance criteria on at least tw</w:t>
      </w:r>
      <w:r w:rsidRPr="009F2A89">
        <w:t>o (2) occasions and include:</w:t>
      </w:r>
    </w:p>
    <w:p w:rsidR="00000000" w:rsidRPr="009F2A89" w:rsidP="009F2A89">
      <w:pPr>
        <w:pStyle w:val="ListBullet"/>
      </w:pPr>
      <w:r w:rsidRPr="009F2A89">
        <w:t xml:space="preserve">following work instructions, standard operating procedures (SOPs) and safe work practices </w:t>
      </w:r>
    </w:p>
    <w:p w:rsidR="00000000" w:rsidRPr="009F2A89" w:rsidP="009F2A89">
      <w:pPr>
        <w:pStyle w:val="ListBullet"/>
      </w:pPr>
      <w:r w:rsidRPr="009F2A89">
        <w:t xml:space="preserve">identifying and interpreting specifications, formulas/recipes and batch sheets for identifying and interpreting required standards for composites </w:t>
      </w:r>
    </w:p>
    <w:p w:rsidR="00000000" w:rsidRPr="009F2A89" w:rsidP="009F2A89">
      <w:pPr>
        <w:pStyle w:val="ListBullet"/>
      </w:pPr>
      <w:r w:rsidRPr="009F2A89">
        <w:t>considering all reasonably standards when selecting and choosing the appropriate standard</w:t>
      </w:r>
    </w:p>
    <w:p w:rsidR="00000000" w:rsidRPr="009F2A89" w:rsidP="009F2A89">
      <w:pPr>
        <w:pStyle w:val="ListBullet"/>
      </w:pPr>
      <w:r w:rsidRPr="009F2A89">
        <w:t>undertaking require</w:t>
      </w:r>
      <w:r w:rsidRPr="009F2A89">
        <w:t>d work and monitoring production to ensure it complies with the procedures</w:t>
      </w:r>
    </w:p>
    <w:p w:rsidR="00000000" w:rsidRPr="009F2A89" w:rsidP="009F2A89">
      <w:pPr>
        <w:pStyle w:val="ListBullet"/>
      </w:pPr>
      <w:r w:rsidRPr="009F2A89">
        <w:t xml:space="preserve">identifying areas for improvement and taking appropriate action </w:t>
      </w:r>
    </w:p>
    <w:p w:rsidR="00000000" w:rsidRPr="009F2A89" w:rsidP="009F2A89">
      <w:pPr>
        <w:pStyle w:val="ListBullet"/>
      </w:pPr>
      <w:r w:rsidRPr="009F2A89">
        <w:t>completing all documentation and reports, including items requiring further action, in accordance with SOPs.</w:t>
      </w: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12" w:name="O_952355"/>
      <w:bookmarkEnd w:id="12"/>
      <w:r w:rsidRPr="009F2A89">
        <w:t>Knowledge Evidence</w:t>
      </w:r>
    </w:p>
    <w:p w:rsidR="00000000" w:rsidRPr="009F2A89" w:rsidP="00E53102">
      <w:pPr>
        <w:pStyle w:val="BodyText"/>
      </w:pPr>
      <w:r w:rsidRPr="009F2A89">
        <w:t>Evidence required to demonstrate the required knowledge for this unit must be relevant to and satisfy the requirements of the elements and performance criteria and include knowledge of:</w:t>
      </w:r>
    </w:p>
    <w:p w:rsidR="00000000" w:rsidRPr="009F2A89" w:rsidP="009F2A89">
      <w:pPr>
        <w:pStyle w:val="ListBullet"/>
      </w:pPr>
      <w:r w:rsidRPr="009F2A89">
        <w:t>safe work practices and procedures</w:t>
      </w:r>
    </w:p>
    <w:p w:rsidR="00000000" w:rsidRPr="009F2A89" w:rsidP="009F2A89">
      <w:pPr>
        <w:pStyle w:val="ListBullet"/>
      </w:pPr>
      <w:r w:rsidRPr="009F2A89">
        <w:t xml:space="preserve">the hierarchy of standards vs guidance vs voluntary codes </w:t>
      </w:r>
    </w:p>
    <w:p w:rsidR="00000000" w:rsidRPr="009F2A89" w:rsidP="009F2A89">
      <w:pPr>
        <w:pStyle w:val="ListBullet"/>
      </w:pPr>
      <w:r w:rsidRPr="009F2A89">
        <w:t>relevant standards</w:t>
      </w:r>
    </w:p>
    <w:p w:rsidR="00000000" w:rsidRPr="009F2A89" w:rsidP="009F2A89">
      <w:pPr>
        <w:pStyle w:val="ListBullet"/>
      </w:pPr>
      <w:r w:rsidRPr="009F2A89">
        <w:t>interpretation of standards</w:t>
      </w:r>
    </w:p>
    <w:p w:rsidR="00000000" w:rsidRPr="009F2A89" w:rsidP="009F2A89">
      <w:pPr>
        <w:pStyle w:val="ListBullet"/>
      </w:pPr>
      <w:r w:rsidRPr="009F2A89">
        <w:t>evidence to support meeting of standard</w:t>
      </w:r>
    </w:p>
    <w:p w:rsidR="00000000" w:rsidRPr="009F2A89" w:rsidP="009F2A89">
      <w:pPr>
        <w:pStyle w:val="ListBullet"/>
      </w:pPr>
      <w:r w:rsidRPr="009F2A89">
        <w:t>accessing standards</w:t>
      </w:r>
    </w:p>
    <w:p w:rsidR="00000000" w:rsidRPr="009F2A89" w:rsidP="009F2A89">
      <w:pPr>
        <w:pStyle w:val="ListBullet"/>
      </w:pPr>
      <w:r w:rsidRPr="009F2A89">
        <w:t>copyright of Australian Standards</w:t>
      </w:r>
    </w:p>
    <w:p w:rsidR="00000000" w:rsidRPr="009F2A89" w:rsidP="009F2A89">
      <w:pPr>
        <w:pStyle w:val="ListBullet"/>
      </w:pPr>
      <w:r w:rsidRPr="009F2A89">
        <w:t>using standards.</w:t>
      </w: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13" w:name="O_952354"/>
      <w:bookmarkEnd w:id="13"/>
      <w:r w:rsidRPr="009F2A89">
        <w:t>Assessment Conditions</w:t>
      </w:r>
    </w:p>
    <w:p w:rsidR="00000000" w:rsidRPr="009F2A89" w:rsidP="009F2A89">
      <w:pPr>
        <w:pStyle w:val="ListBullet"/>
      </w:pPr>
      <w:r w:rsidRPr="009F2A89">
        <w:t>Assessors must:</w:t>
      </w:r>
    </w:p>
    <w:p w:rsidR="00000000" w:rsidRPr="009F2A89" w:rsidP="009F2A89">
      <w:pPr>
        <w:pStyle w:val="ListBullet2"/>
      </w:pPr>
      <w:r w:rsidRPr="009F2A89">
        <w:t>have vocational competency in identifying and interpreting required standards for composites at least to the level being assessed with relevant industry knowledge and experience</w:t>
      </w:r>
    </w:p>
    <w:p w:rsidR="00000000" w:rsidRPr="009F2A89" w:rsidP="009F2A89">
      <w:pPr>
        <w:pStyle w:val="ListBullet2"/>
      </w:pPr>
      <w:r w:rsidRPr="009F2A89">
        <w:t xml:space="preserve">satisfy the assessor requirements in the </w:t>
      </w:r>
      <w:r w:rsidRPr="009F2A89">
        <w:rPr>
          <w:rStyle w:val="Emphasis"/>
        </w:rPr>
        <w:t xml:space="preserve">Standards for Registered Training Organisations 2015 </w:t>
      </w:r>
      <w:r w:rsidRPr="009F2A89">
        <w:t>or its replacement</w:t>
      </w:r>
      <w:r w:rsidRPr="009F2A89">
        <w:rPr>
          <w:rStyle w:val="Emphasis"/>
        </w:rPr>
        <w:t xml:space="preserve"> </w:t>
      </w:r>
      <w:r w:rsidRPr="009F2A89">
        <w:t xml:space="preserve">and comply with the </w:t>
      </w:r>
      <w:r w:rsidRPr="009F2A89">
        <w:rPr>
          <w:rStyle w:val="Emphasis"/>
        </w:rPr>
        <w:t xml:space="preserve">National Vocational Education and Training Regulator Act 2011, </w:t>
      </w:r>
      <w:r w:rsidRPr="009F2A89">
        <w:t>its replacement</w:t>
      </w:r>
      <w:r w:rsidRPr="009F2A89">
        <w:rPr>
          <w:rStyle w:val="Emphasis"/>
        </w:rPr>
        <w:t xml:space="preserve"> </w:t>
      </w:r>
      <w:r w:rsidRPr="009F2A89">
        <w:t xml:space="preserve">or equivalent legislation covering VET regulation in a non-referring state/territory </w:t>
      </w:r>
      <w:r w:rsidRPr="009F2A89">
        <w:t>as the case requires</w:t>
      </w:r>
    </w:p>
    <w:p w:rsidR="00000000" w:rsidRPr="009F2A89" w:rsidP="009F2A89">
      <w:pPr>
        <w:pStyle w:val="ListBullet"/>
      </w:pPr>
      <w:r w:rsidRPr="009F2A89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9F2A89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F2A89" w:rsidP="009F2A89">
      <w:pPr>
        <w:pStyle w:val="ListBullet"/>
      </w:pPr>
      <w:r w:rsidRPr="009F2A89">
        <w:t>Conditions fo</w:t>
      </w:r>
      <w:r w:rsidRPr="009F2A89">
        <w:t>r assessment must include access to all tools, equipment, materials and documentation required, including relevant workplace procedures, product and manufacturing specifications</w:t>
      </w:r>
    </w:p>
    <w:p w:rsidR="00000000" w:rsidRPr="009F2A89" w:rsidP="009F2A89">
      <w:pPr>
        <w:pStyle w:val="ListBullet"/>
      </w:pPr>
      <w:r w:rsidRPr="009F2A89">
        <w:t>Assessment processes and techniques must be appropriate to the language, liter</w:t>
      </w:r>
      <w:r w:rsidRPr="009F2A89">
        <w:t>acy and numeracy requirements of the work being performed and the needs of the candidate.</w:t>
      </w:r>
    </w:p>
    <w:p w:rsidR="00000000" w:rsidRPr="009F2A89" w:rsidP="009F2A89">
      <w:pPr>
        <w:pStyle w:val="AllowPageBreak"/>
      </w:pPr>
    </w:p>
    <w:p w:rsidR="00000000" w:rsidRPr="009F2A89" w:rsidP="009F2A89">
      <w:pPr>
        <w:pStyle w:val="Heading1"/>
      </w:pPr>
      <w:bookmarkStart w:id="14" w:name="O_952352"/>
      <w:bookmarkEnd w:id="14"/>
      <w:r w:rsidRPr="009F2A89">
        <w:t>Links</w:t>
      </w:r>
    </w:p>
    <w:p w:rsidR="00000000" w:rsidRPr="009F2A89" w:rsidP="00E53102">
      <w:pPr>
        <w:pStyle w:val="BodyText"/>
      </w:pPr>
      <w:r w:rsidRPr="009F2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B02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2A89" w:rsidP="009F2A89"/>
    <w:sectPr w:rsidSect="009F2A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 w:rsidRPr="00E53102" w:rsidP="00E531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02" w:rsidP="009F2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102" w:rsidP="009F2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3102" w:rsidP="009F2A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 w:rsidP="009F2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3102">
      <w:t>Approved</w:t>
    </w:r>
    <w:r w:rsidR="00E531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31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3102">
      <w:rPr>
        <w:noProof/>
      </w:rPr>
      <w:t>4</w:t>
    </w:r>
    <w:r>
      <w:rPr>
        <w:noProof/>
      </w:rPr>
      <w:fldChar w:fldCharType="end"/>
    </w:r>
  </w:p>
  <w:p w:rsidR="009F2A89" w:rsidP="009F2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31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3102">
      <w:t>Manufacturing Industry Skills Alliance</w:t>
    </w:r>
    <w:r w:rsidR="00E53102">
      <w:fldChar w:fldCharType="end"/>
    </w:r>
  </w:p>
  <w:p w:rsidR="009F2A89" w:rsidP="009F2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A89" w:rsidRPr="00E53102" w:rsidP="00E531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102" w:rsidRPr="002D2AF8" w:rsidP="009F2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MEM26020 Identify and interpret required standards for composites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3102" w:rsidP="009F2A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A89" w:rsidRPr="002D2AF8" w:rsidP="009F2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3102">
      <w:t>MEM26020 Identify and interpret required standards for composites</w:t>
    </w:r>
    <w:r w:rsidR="00E531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3102">
      <w:rPr>
        <w:noProof/>
      </w:rPr>
      <w:t>1 March 2025</w:t>
    </w:r>
    <w:r>
      <w:fldChar w:fldCharType="end"/>
    </w:r>
  </w:p>
  <w:p w:rsidR="009F2A89" w:rsidP="009F2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88F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E0B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69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A89"/>
  </w:style>
  <w:style w:type="character" w:customStyle="1" w:styleId="Heading1Char">
    <w:name w:val="Heading 1 Char"/>
    <w:basedOn w:val="DefaultParagraphFont"/>
    <w:link w:val="Heading1"/>
    <w:rsid w:val="009F2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A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A89"/>
    <w:rPr>
      <w:b/>
      <w:spacing w:val="0"/>
    </w:rPr>
  </w:style>
  <w:style w:type="paragraph" w:styleId="ListBullet2">
    <w:name w:val="List Bullet 2"/>
    <w:basedOn w:val="List2"/>
    <w:rsid w:val="009F2A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2A89"/>
    <w:rPr>
      <w:i/>
    </w:rPr>
  </w:style>
  <w:style w:type="paragraph" w:customStyle="1" w:styleId="SuperHeading">
    <w:name w:val="SuperHeading"/>
    <w:basedOn w:val="Normal"/>
    <w:rsid w:val="009F2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2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A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A89"/>
  </w:style>
  <w:style w:type="paragraph" w:styleId="TableofFigures">
    <w:name w:val="table of figures"/>
    <w:basedOn w:val="Normal"/>
    <w:next w:val="Normal"/>
    <w:semiHidden/>
    <w:rsid w:val="009F2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A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2A89"/>
    <w:rPr>
      <w:rFonts w:ascii="Wingdings" w:hAnsi="Wingdings"/>
    </w:rPr>
  </w:style>
  <w:style w:type="paragraph" w:customStyle="1" w:styleId="TableHeading">
    <w:name w:val="Table Heading"/>
    <w:basedOn w:val="HeadingBase"/>
    <w:rsid w:val="009F2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A89"/>
    <w:rPr>
      <w:color w:val="0033CC"/>
      <w:u w:val="none"/>
    </w:rPr>
  </w:style>
  <w:style w:type="paragraph" w:customStyle="1" w:styleId="BodyTextRight">
    <w:name w:val="Body Text Right"/>
    <w:basedOn w:val="BodyText"/>
    <w:rsid w:val="009F2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A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A89"/>
    <w:rPr>
      <w:sz w:val="32"/>
    </w:rPr>
  </w:style>
  <w:style w:type="paragraph" w:customStyle="1" w:styleId="HeadingProcedure">
    <w:name w:val="Heading Procedure"/>
    <w:basedOn w:val="HeadingBase"/>
    <w:next w:val="Normal"/>
    <w:rsid w:val="009F2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A89"/>
    <w:pPr>
      <w:spacing w:before="60" w:after="60"/>
    </w:pPr>
  </w:style>
  <w:style w:type="paragraph" w:styleId="ListContinue">
    <w:name w:val="List Continue"/>
    <w:basedOn w:val="List"/>
    <w:rsid w:val="009F2A89"/>
    <w:pPr>
      <w:ind w:firstLine="0"/>
    </w:pPr>
  </w:style>
  <w:style w:type="paragraph" w:customStyle="1" w:styleId="ListNote">
    <w:name w:val="List Note"/>
    <w:basedOn w:val="List"/>
    <w:rsid w:val="009F2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A89"/>
    <w:rPr>
      <w:rFonts w:ascii="Courier New" w:hAnsi="Courier New"/>
    </w:rPr>
  </w:style>
  <w:style w:type="paragraph" w:customStyle="1" w:styleId="NoteBullet">
    <w:name w:val="Note Bullet"/>
    <w:basedOn w:val="Note"/>
    <w:rsid w:val="009F2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A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2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A89"/>
    <w:rPr>
      <w:b/>
      <w:smallCaps/>
    </w:rPr>
  </w:style>
  <w:style w:type="paragraph" w:customStyle="1" w:styleId="TableListNumber">
    <w:name w:val="Table List Number"/>
    <w:basedOn w:val="ListNumber"/>
    <w:rsid w:val="009F2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A89"/>
    <w:pPr>
      <w:numPr>
        <w:numId w:val="9"/>
      </w:numPr>
    </w:pPr>
  </w:style>
  <w:style w:type="paragraph" w:customStyle="1" w:styleId="ListAlpha2">
    <w:name w:val="List Alpha 2"/>
    <w:basedOn w:val="List2"/>
    <w:rsid w:val="009F2A89"/>
    <w:pPr>
      <w:numPr>
        <w:numId w:val="8"/>
      </w:numPr>
    </w:pPr>
  </w:style>
  <w:style w:type="paragraph" w:styleId="List2">
    <w:name w:val="List 2"/>
    <w:basedOn w:val="BodyText"/>
    <w:rsid w:val="009F2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A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A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2A89"/>
    <w:pPr>
      <w:numPr>
        <w:numId w:val="4"/>
      </w:numPr>
    </w:pPr>
  </w:style>
  <w:style w:type="paragraph" w:styleId="ListContinue2">
    <w:name w:val="List Continue 2"/>
    <w:basedOn w:val="List2"/>
    <w:rsid w:val="009F2A89"/>
    <w:pPr>
      <w:ind w:firstLine="0"/>
    </w:pPr>
  </w:style>
  <w:style w:type="paragraph" w:styleId="ListContinue3">
    <w:name w:val="List Continue 3"/>
    <w:basedOn w:val="List3"/>
    <w:rsid w:val="009F2A89"/>
    <w:pPr>
      <w:ind w:left="1021" w:firstLine="0"/>
    </w:pPr>
  </w:style>
  <w:style w:type="paragraph" w:styleId="ListContinue4">
    <w:name w:val="List Continue 4"/>
    <w:basedOn w:val="List4"/>
    <w:rsid w:val="009F2A89"/>
    <w:pPr>
      <w:ind w:firstLine="0"/>
    </w:pPr>
  </w:style>
  <w:style w:type="paragraph" w:styleId="ListContinue5">
    <w:name w:val="List Continue 5"/>
    <w:basedOn w:val="List5"/>
    <w:rsid w:val="009F2A89"/>
    <w:pPr>
      <w:ind w:firstLine="0"/>
    </w:pPr>
  </w:style>
  <w:style w:type="paragraph" w:styleId="ListNumber3">
    <w:name w:val="List Number 3"/>
    <w:basedOn w:val="List3"/>
    <w:rsid w:val="009F2A89"/>
    <w:pPr>
      <w:numPr>
        <w:numId w:val="5"/>
      </w:numPr>
    </w:pPr>
  </w:style>
  <w:style w:type="paragraph" w:styleId="ListNumber4">
    <w:name w:val="List Number 4"/>
    <w:basedOn w:val="List4"/>
    <w:rsid w:val="009F2A89"/>
    <w:pPr>
      <w:numPr>
        <w:numId w:val="6"/>
      </w:numPr>
    </w:pPr>
  </w:style>
  <w:style w:type="paragraph" w:styleId="ListNumber5">
    <w:name w:val="List Number 5"/>
    <w:basedOn w:val="List5"/>
    <w:rsid w:val="009F2A89"/>
    <w:pPr>
      <w:numPr>
        <w:numId w:val="7"/>
      </w:numPr>
    </w:pPr>
  </w:style>
  <w:style w:type="paragraph" w:styleId="BlockText">
    <w:name w:val="Block Text"/>
    <w:basedOn w:val="Normal"/>
    <w:rsid w:val="009F2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A89"/>
    <w:rPr>
      <w:sz w:val="16"/>
      <w:vertAlign w:val="superscript"/>
    </w:rPr>
  </w:style>
  <w:style w:type="character" w:customStyle="1" w:styleId="Symbols">
    <w:name w:val="Symbols"/>
    <w:basedOn w:val="DefaultParagraphFont"/>
    <w:rsid w:val="009F2A89"/>
    <w:rPr>
      <w:rFonts w:ascii="Symbol" w:hAnsi="Symbol"/>
    </w:rPr>
  </w:style>
  <w:style w:type="character" w:customStyle="1" w:styleId="MenuOptions">
    <w:name w:val="Menu Options"/>
    <w:basedOn w:val="DefaultParagraphFont"/>
    <w:rsid w:val="009F2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A89"/>
    <w:rPr>
      <w:b/>
    </w:rPr>
  </w:style>
  <w:style w:type="character" w:customStyle="1" w:styleId="Underlined">
    <w:name w:val="Underlined"/>
    <w:basedOn w:val="DefaultParagraphFont"/>
    <w:rsid w:val="009F2A89"/>
    <w:rPr>
      <w:u w:val="single"/>
    </w:rPr>
  </w:style>
  <w:style w:type="paragraph" w:customStyle="1" w:styleId="TableBodyTextRight">
    <w:name w:val="Table Body Text Right"/>
    <w:basedOn w:val="TableBodyText"/>
    <w:rsid w:val="009F2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A89"/>
    <w:rPr>
      <w:sz w:val="18"/>
    </w:rPr>
  </w:style>
  <w:style w:type="paragraph" w:customStyle="1" w:styleId="BodySmallRight">
    <w:name w:val="Body Small Right"/>
    <w:basedOn w:val="BodyTextRight"/>
    <w:rsid w:val="009F2A89"/>
    <w:rPr>
      <w:sz w:val="18"/>
      <w:szCs w:val="18"/>
    </w:rPr>
  </w:style>
  <w:style w:type="paragraph" w:customStyle="1" w:styleId="MarginEdition">
    <w:name w:val="Margin Edition"/>
    <w:basedOn w:val="MarginNote"/>
    <w:rsid w:val="009F2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A89"/>
    <w:rPr>
      <w:sz w:val="2"/>
      <w:szCs w:val="2"/>
    </w:rPr>
  </w:style>
  <w:style w:type="character" w:customStyle="1" w:styleId="Small">
    <w:name w:val="Small"/>
    <w:basedOn w:val="DefaultParagraphFont"/>
    <w:rsid w:val="009F2A89"/>
    <w:rPr>
      <w:sz w:val="16"/>
    </w:rPr>
  </w:style>
  <w:style w:type="paragraph" w:customStyle="1" w:styleId="WideTable">
    <w:name w:val="Wide Table"/>
    <w:basedOn w:val="Normal"/>
    <w:rsid w:val="009F2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A89"/>
  </w:style>
  <w:style w:type="paragraph" w:styleId="Quote">
    <w:name w:val="Quote"/>
    <w:basedOn w:val="Heading1"/>
    <w:link w:val="QuoteChar"/>
    <w:qFormat/>
    <w:rsid w:val="009F2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A89"/>
    <w:pPr>
      <w:pageBreakBefore/>
    </w:pPr>
  </w:style>
  <w:style w:type="paragraph" w:customStyle="1" w:styleId="Border">
    <w:name w:val="Border"/>
    <w:basedOn w:val="Normal"/>
    <w:qFormat/>
    <w:rsid w:val="009F2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A89"/>
    <w:rPr>
      <w:u w:val="single"/>
    </w:rPr>
  </w:style>
  <w:style w:type="character" w:customStyle="1" w:styleId="BoldandItalics">
    <w:name w:val="Bold and Italics"/>
    <w:qFormat/>
    <w:rsid w:val="009F2A89"/>
    <w:rPr>
      <w:b/>
      <w:i/>
      <w:u w:val="none"/>
    </w:rPr>
  </w:style>
  <w:style w:type="paragraph" w:styleId="BalloonText">
    <w:name w:val="Balloon Text"/>
    <w:basedOn w:val="Normal"/>
    <w:link w:val="BalloonTextChar"/>
    <w:rsid w:val="009F2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A89"/>
    <w:pPr>
      <w:spacing w:before="0" w:after="0"/>
    </w:pPr>
  </w:style>
  <w:style w:type="paragraph" w:customStyle="1" w:styleId="BodyTextBold">
    <w:name w:val="Body Text Bold"/>
    <w:basedOn w:val="BodyText"/>
    <w:qFormat/>
    <w:rsid w:val="009F2A89"/>
    <w:rPr>
      <w:b/>
    </w:rPr>
  </w:style>
  <w:style w:type="character" w:styleId="Hyperlink">
    <w:name w:val="Hyperlink"/>
    <w:basedOn w:val="DefaultParagraphFont"/>
    <w:uiPriority w:val="99"/>
    <w:unhideWhenUsed/>
    <w:rsid w:val="00E53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5573</Characters>
  <Application>Microsoft Office Word</Application>
  <DocSecurity>0</DocSecurity>
  <Lines>206</Lines>
  <Paragraphs>114</Paragraphs>
  <ScaleCrop>false</ScaleCrop>
  <Company>Author-it Software Corporation Ltd.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MEM26020 Identify and interpret required standards for composites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