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FA9" w:rsidP="005E7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MEM26017 Prepare composite or other substrate surfaces</w:t>
      </w:r>
      <w:r>
        <w:fldChar w:fldCharType="end"/>
      </w:r>
    </w:p>
    <w:p w:rsidR="005E7FA9" w:rsidP="005E7FA9">
      <w:pPr>
        <w:pStyle w:val="Version"/>
        <w:sectPr w:rsidSect="009A3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F45" w:rsidP="009A3F45">
      <w:pPr>
        <w:pStyle w:val="SuperHeading"/>
      </w:pPr>
      <w:r w:rsidRPr="009A3F45">
        <w:t>MEM26017 Prepare composite or other substrate surfaces</w:t>
      </w:r>
    </w:p>
    <w:p w:rsidR="00000000" w:rsidRPr="009A3F45" w:rsidP="009A3F45">
      <w:pPr>
        <w:pStyle w:val="Heading1"/>
      </w:pPr>
      <w:bookmarkStart w:id="1" w:name="O_952300"/>
      <w:bookmarkEnd w:id="1"/>
      <w:r w:rsidRPr="009A3F45">
        <w:t>Modification History</w:t>
      </w:r>
    </w:p>
    <w:p w:rsidR="00000000" w:rsidRPr="009A3F45" w:rsidP="005E7FA9">
      <w:pPr>
        <w:pStyle w:val="BodyText"/>
      </w:pPr>
      <w:r w:rsidRPr="009A3F45">
        <w:t xml:space="preserve">Release 1. Supersedes and is equivalent to MEM26017A Prepare composite or other substrate surfaces </w:t>
      </w:r>
    </w:p>
    <w:p w:rsidR="00000000" w:rsidRPr="009A3F45" w:rsidP="009A3F45">
      <w:pPr>
        <w:pStyle w:val="Heading1"/>
      </w:pPr>
      <w:bookmarkStart w:id="2" w:name="O_952308"/>
      <w:bookmarkEnd w:id="2"/>
      <w:r w:rsidRPr="009A3F45">
        <w:t>Application</w:t>
      </w:r>
    </w:p>
    <w:p w:rsidR="00000000" w:rsidRPr="009A3F45" w:rsidP="005E7FA9">
      <w:pPr>
        <w:pStyle w:val="BodyText"/>
      </w:pPr>
      <w:r w:rsidRPr="009A3F45">
        <w:t>This unit of competency defines the skills and knowledge required to prepare by abrasive o</w:t>
      </w:r>
      <w:r w:rsidRPr="009A3F45">
        <w:t xml:space="preserve">r chemical means, a composite surface prior to bonding/joining or coating and includes the preparation of composite surfaces and other surfaces which are used in conjunction with composites (e.g. metal surfaces). </w:t>
      </w:r>
    </w:p>
    <w:p w:rsidR="00000000" w:rsidRPr="009A3F45" w:rsidP="005E7FA9">
      <w:pPr>
        <w:pStyle w:val="BodyText"/>
      </w:pPr>
      <w:r w:rsidRPr="009A3F45">
        <w:t>This unit complements unit MEM26016 Selec</w:t>
      </w:r>
      <w:r w:rsidRPr="009A3F45">
        <w:t>t and use joining techniques.</w:t>
      </w:r>
    </w:p>
    <w:p w:rsidR="00000000" w:rsidRPr="009A3F45" w:rsidP="005E7FA9">
      <w:pPr>
        <w:pStyle w:val="BodyText"/>
      </w:pPr>
      <w:r w:rsidRPr="009A3F45">
        <w:t>No licensing, legislative or certification requirements apply to this unit at the time of publication.</w:t>
      </w:r>
    </w:p>
    <w:p w:rsidR="00000000" w:rsidRPr="009A3F45" w:rsidP="009A3F45">
      <w:pPr>
        <w:pStyle w:val="BodyText"/>
      </w:pPr>
      <w:r w:rsidRPr="009A3F45">
        <w:rPr>
          <w:rStyle w:val="SpecialBold"/>
        </w:rPr>
        <w:t>Band</w:t>
      </w:r>
      <w:r w:rsidRPr="009A3F45">
        <w:t>:</w:t>
      </w:r>
      <w:r w:rsidRPr="009A3F45">
        <w:tab/>
      </w:r>
      <w:r w:rsidRPr="009A3F45">
        <w:rPr>
          <w:rStyle w:val="SpecialBold"/>
        </w:rPr>
        <w:t>A</w:t>
      </w:r>
    </w:p>
    <w:p w:rsidR="00000000" w:rsidRPr="009A3F45" w:rsidP="009A3F45">
      <w:pPr>
        <w:pStyle w:val="BodyText"/>
      </w:pPr>
      <w:r w:rsidRPr="009A3F45">
        <w:rPr>
          <w:rStyle w:val="SpecialBold"/>
        </w:rPr>
        <w:t>Unit Weight:</w:t>
      </w:r>
      <w:r w:rsidRPr="009A3F45">
        <w:rPr>
          <w:rStyle w:val="SpecialBold"/>
        </w:rPr>
        <w:tab/>
        <w:t>4</w:t>
      </w:r>
    </w:p>
    <w:p w:rsidR="00000000" w:rsidRPr="009A3F45" w:rsidP="009A3F45">
      <w:pPr>
        <w:pStyle w:val="AllowPageBreak"/>
      </w:pPr>
    </w:p>
    <w:p w:rsidR="00000000" w:rsidRPr="009A3F45" w:rsidP="009A3F45">
      <w:pPr>
        <w:pStyle w:val="Heading1"/>
      </w:pPr>
      <w:bookmarkStart w:id="3" w:name="O_952307"/>
      <w:bookmarkEnd w:id="3"/>
      <w:r w:rsidRPr="009A3F4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Work safely and effectively in manufacturing and engi</w:t>
            </w:r>
            <w:r w:rsidRPr="009A3F45">
              <w:t>neering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F45" w:rsidP="009A3F45">
            <w:pPr>
              <w:pStyle w:val="BodyText"/>
            </w:pPr>
            <w:r w:rsidRPr="009A3F45">
              <w:t>Organise and communicate information</w:t>
            </w:r>
          </w:p>
        </w:tc>
      </w:tr>
    </w:tbl>
    <w:p w:rsidR="00000000" w:rsidRPr="009A3F45" w:rsidP="009A3F45">
      <w:pPr>
        <w:pStyle w:val="BodyText"/>
      </w:pPr>
    </w:p>
    <w:p w:rsidR="00000000" w:rsidRPr="009A3F45" w:rsidP="009A3F45">
      <w:pPr>
        <w:pStyle w:val="AllowPageBreak"/>
      </w:pPr>
    </w:p>
    <w:p w:rsidR="00000000" w:rsidRPr="009A3F45" w:rsidP="009A3F45">
      <w:pPr>
        <w:pStyle w:val="Heading1"/>
      </w:pPr>
      <w:bookmarkStart w:id="4" w:name="O_952306"/>
      <w:bookmarkEnd w:id="4"/>
      <w:r w:rsidRPr="009A3F45">
        <w:t>Competency Field</w:t>
      </w:r>
    </w:p>
    <w:p w:rsidR="00000000" w:rsidRPr="009A3F45" w:rsidP="005E7FA9">
      <w:pPr>
        <w:pStyle w:val="BodyText"/>
      </w:pPr>
      <w:r w:rsidRPr="009A3F45">
        <w:t>Composites</w:t>
      </w:r>
    </w:p>
    <w:p w:rsidR="00000000" w:rsidRPr="009A3F45" w:rsidP="009A3F45">
      <w:pPr>
        <w:pStyle w:val="Heading1"/>
      </w:pPr>
      <w:bookmarkStart w:id="5" w:name="O_952304"/>
      <w:bookmarkEnd w:id="5"/>
      <w:r w:rsidRPr="009A3F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Performance criteria describe the performance needed to demonstrate achievement of the element.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F45" w:rsidP="009A3F45">
            <w:pPr>
              <w:pStyle w:val="BodyText"/>
            </w:pPr>
            <w:r w:rsidRPr="009A3F4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rPr>
                <w:rStyle w:val="SpecialBold"/>
              </w:rPr>
              <w:t xml:space="preserve">Determine job </w:t>
            </w:r>
            <w:r w:rsidRPr="009A3F45">
              <w:rPr>
                <w:rStyle w:val="SpecialBold"/>
              </w:rPr>
              <w:t>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Follow standard operating procedures (SOPs)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Comply with work health and safety (WHS) requirements at all times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Select and use appropriate personal protective equipment (PPE) in accordance with SOPs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Identify the chemistry of materials to be applied to the surface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Identify the surface chemistry of the substrate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Determine any chemical treatments needed to make the substrate compatible with the materials to be applied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Interpret safety data sheets (SDS) for materials that may be used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Identify the current and possible required physical states of the sub</w:t>
            </w:r>
            <w:r w:rsidRPr="009A3F45">
              <w:t>strate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F45" w:rsidP="009A3F45">
            <w:pPr>
              <w:pStyle w:val="BodyText"/>
            </w:pPr>
            <w:r w:rsidRPr="009A3F4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rPr>
                <w:rStyle w:val="SpecialBold"/>
              </w:rPr>
              <w:t>Select most appropriate preparation technique for job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Compile specification for required substrate preparation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Compare possible substrate preparation methods with specification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Select most appropriate substrate preparation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Conduct and evaluate tests, as appropriate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Review selection and substrate preparation and make any required changes to substrate preparation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F45" w:rsidP="009A3F45">
            <w:pPr>
              <w:pStyle w:val="BodyText"/>
            </w:pPr>
            <w:r w:rsidRPr="009A3F4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rPr>
                <w:rStyle w:val="SpecialBold"/>
              </w:rPr>
              <w:t>Prepare substrate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Identify and control hazards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Prepare substrate, as required and minimise waste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Review result compared to requirements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Review substrate preparation process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Identify areas for improvement and take appropriate actions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Clean up and perform any routine maintenance required on equipment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F45" w:rsidP="009A3F45">
            <w:pPr>
              <w:pStyle w:val="BodyText"/>
            </w:pPr>
            <w:r w:rsidRPr="009A3F45">
              <w:t>Complete any required documentation/reporting according to SOPs</w:t>
            </w:r>
          </w:p>
        </w:tc>
      </w:tr>
    </w:tbl>
    <w:p w:rsidR="00000000" w:rsidRPr="009A3F45" w:rsidP="009A3F45">
      <w:pPr>
        <w:pStyle w:val="BodyText"/>
      </w:pPr>
    </w:p>
    <w:p w:rsidR="00000000" w:rsidRPr="009A3F45" w:rsidP="009A3F45">
      <w:pPr>
        <w:pStyle w:val="AllowPageBreak"/>
      </w:pPr>
    </w:p>
    <w:p w:rsidR="00000000" w:rsidRPr="009A3F45" w:rsidP="009A3F45">
      <w:pPr>
        <w:pStyle w:val="Heading1"/>
      </w:pPr>
      <w:bookmarkStart w:id="6" w:name="O_952303"/>
      <w:bookmarkEnd w:id="6"/>
      <w:r w:rsidRPr="009A3F45">
        <w:t>Foundation Skills</w:t>
      </w:r>
    </w:p>
    <w:p w:rsidR="00000000" w:rsidRPr="009A3F45" w:rsidP="005E7FA9">
      <w:pPr>
        <w:pStyle w:val="BodyText"/>
      </w:pPr>
      <w:r w:rsidRPr="009A3F4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A3F45" w:rsidP="005E7FA9">
      <w:pPr>
        <w:pStyle w:val="BodyText"/>
      </w:pPr>
      <w:r w:rsidRPr="009A3F45">
        <w:t xml:space="preserve">Foundation skills essential to performance are explicit in the performance criteria </w:t>
      </w:r>
      <w:r w:rsidRPr="009A3F45">
        <w:t>of this unit of competency.</w:t>
      </w:r>
    </w:p>
    <w:p w:rsidR="00000000" w:rsidRPr="009A3F45" w:rsidP="009A3F45">
      <w:pPr>
        <w:pStyle w:val="Heading1"/>
      </w:pPr>
      <w:bookmarkStart w:id="7" w:name="O_952302"/>
      <w:bookmarkEnd w:id="7"/>
      <w:r w:rsidRPr="009A3F4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t>This field allows for different work environments and conditions that may affect performance. Essential operating conditions that may be present (depending on the work situation, needs of the</w:t>
            </w:r>
            <w:r w:rsidRPr="009A3F45">
              <w:t xml:space="preserve"> candidate, accessibility of the item, and local industry and regional contexts) are included.</w:t>
            </w: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rPr>
                <w:rStyle w:val="SpecialBold"/>
              </w:rPr>
              <w:t>Most appropriate substrate preparation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F45" w:rsidP="009A3F45">
            <w:pPr>
              <w:pStyle w:val="ListBullet"/>
            </w:pPr>
            <w:r w:rsidRPr="009A3F45">
              <w:t>compliance with product requirements</w:t>
            </w:r>
          </w:p>
          <w:p w:rsidR="00000000" w:rsidRPr="009A3F45" w:rsidP="009A3F45">
            <w:pPr>
              <w:pStyle w:val="ListBullet"/>
            </w:pPr>
            <w:r w:rsidRPr="009A3F45">
              <w:t>greatest ease of preparation</w:t>
            </w:r>
          </w:p>
          <w:p w:rsidR="00000000" w:rsidRPr="009A3F45" w:rsidP="009A3F45">
            <w:pPr>
              <w:pStyle w:val="ListBullet"/>
            </w:pPr>
            <w:r w:rsidRPr="009A3F45">
              <w:t>best financial return</w:t>
            </w:r>
          </w:p>
          <w:p w:rsidR="00000000" w:rsidRPr="009A3F45" w:rsidP="009A3F45">
            <w:pPr>
              <w:pStyle w:val="ListBullet"/>
            </w:pPr>
            <w:r w:rsidRPr="009A3F45">
              <w:t>greatest sustainability contribution</w:t>
            </w:r>
          </w:p>
          <w:p w:rsidR="00000000" w:rsidP="009A3F45">
            <w:pPr>
              <w:pStyle w:val="BodyText"/>
              <w:rPr>
                <w:lang w:val="en-NZ"/>
              </w:rPr>
            </w:pP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rPr>
                <w:rStyle w:val="SpecialBold"/>
              </w:rPr>
              <w:t>Areas for improvement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F45" w:rsidP="009A3F45">
            <w:pPr>
              <w:pStyle w:val="ListBullet"/>
            </w:pPr>
            <w:r w:rsidRPr="009A3F45">
              <w:t>incompatible surface applications with substrates</w:t>
            </w:r>
          </w:p>
          <w:p w:rsidR="00000000" w:rsidRPr="009A3F45" w:rsidP="009A3F45">
            <w:pPr>
              <w:pStyle w:val="ListBullet"/>
            </w:pPr>
            <w:r w:rsidRPr="009A3F45">
              <w:t>non-uniform substrate preparation</w:t>
            </w:r>
          </w:p>
          <w:p w:rsidR="00000000" w:rsidRPr="009A3F45" w:rsidP="009A3F45">
            <w:pPr>
              <w:pStyle w:val="ListBullet"/>
            </w:pPr>
            <w:r w:rsidRPr="009A3F45">
              <w:t>the use of hazardous materials</w:t>
            </w:r>
          </w:p>
          <w:p w:rsidR="00000000" w:rsidP="009A3F45">
            <w:pPr>
              <w:pStyle w:val="BodyText"/>
              <w:rPr>
                <w:lang w:val="en-NZ"/>
              </w:rPr>
            </w:pPr>
          </w:p>
        </w:tc>
      </w:tr>
      <w:tr w:rsidTr="009A3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F45">
            <w:pPr>
              <w:pStyle w:val="BodyText"/>
              <w:rPr>
                <w:lang w:val="en-NZ"/>
              </w:rPr>
            </w:pPr>
            <w:r w:rsidRPr="009A3F45">
              <w:rPr>
                <w:rStyle w:val="SpecialBold"/>
              </w:rPr>
              <w:t>Sustainability includes the followi</w:t>
            </w:r>
            <w:r w:rsidRPr="009A3F45">
              <w:rPr>
                <w:rStyle w:val="SpecialBold"/>
              </w:rPr>
              <w:t>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F45" w:rsidP="009A3F45">
            <w:pPr>
              <w:pStyle w:val="ListBullet"/>
            </w:pPr>
            <w:r w:rsidRPr="009A3F45">
              <w:t xml:space="preserve">survival of the ecology/physical environment </w:t>
            </w:r>
          </w:p>
          <w:p w:rsidR="00000000" w:rsidRPr="009A3F45" w:rsidP="009A3F45">
            <w:pPr>
              <w:pStyle w:val="ListBullet"/>
            </w:pPr>
            <w:r w:rsidRPr="009A3F45">
              <w:t xml:space="preserve">economic viability </w:t>
            </w:r>
          </w:p>
          <w:p w:rsidR="00000000" w:rsidRPr="009A3F45" w:rsidP="009A3F45">
            <w:pPr>
              <w:pStyle w:val="ListBullet"/>
            </w:pPr>
            <w:r w:rsidRPr="009A3F45">
              <w:t xml:space="preserve">social sustainability </w:t>
            </w:r>
          </w:p>
          <w:p w:rsidR="00000000" w:rsidRPr="009A3F45" w:rsidP="009A3F45">
            <w:pPr>
              <w:pStyle w:val="BodyText"/>
            </w:pPr>
          </w:p>
        </w:tc>
      </w:tr>
    </w:tbl>
    <w:p w:rsidR="00000000" w:rsidRPr="009A3F45" w:rsidP="009A3F45">
      <w:pPr>
        <w:pStyle w:val="BodyText"/>
      </w:pPr>
    </w:p>
    <w:p w:rsidR="00000000" w:rsidRPr="009A3F45" w:rsidP="009A3F45">
      <w:pPr>
        <w:pStyle w:val="AllowPageBreak"/>
      </w:pPr>
    </w:p>
    <w:p w:rsidR="00000000" w:rsidRPr="009A3F45" w:rsidP="009A3F45">
      <w:pPr>
        <w:pStyle w:val="Heading1"/>
      </w:pPr>
      <w:bookmarkStart w:id="8" w:name="O_952301"/>
      <w:bookmarkEnd w:id="8"/>
      <w:r w:rsidRPr="009A3F45">
        <w:t>Unit Mapping Information</w:t>
      </w:r>
    </w:p>
    <w:p w:rsidR="00000000" w:rsidRPr="009A3F45" w:rsidP="005E7FA9">
      <w:pPr>
        <w:pStyle w:val="BodyText"/>
      </w:pPr>
      <w:r w:rsidRPr="009A3F45">
        <w:t xml:space="preserve">Release 1. Supersedes and is equivalent to MEM26017A Prepare composite or other substrate surfaces </w:t>
      </w:r>
    </w:p>
    <w:p w:rsidR="00000000" w:rsidRPr="009A3F45" w:rsidP="009A3F45">
      <w:pPr>
        <w:pStyle w:val="Heading1"/>
      </w:pPr>
      <w:bookmarkStart w:id="9" w:name="O_952294"/>
      <w:bookmarkEnd w:id="9"/>
      <w:r w:rsidRPr="009A3F45">
        <w:t>Links</w:t>
      </w:r>
    </w:p>
    <w:p w:rsidR="00000000" w:rsidRPr="009A3F45" w:rsidP="005E7FA9">
      <w:pPr>
        <w:pStyle w:val="BodyText"/>
      </w:pPr>
      <w:r w:rsidRPr="009A3F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A2BC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A3F45" w:rsidP="009A3F45"/>
    <w:sectPr w:rsidSect="009A3F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F45" w:rsidRPr="005E7FA9" w:rsidP="005E7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A9" w:rsidP="009A3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7FA9" w:rsidP="009A3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E7FA9" w:rsidP="009A3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F45" w:rsidRPr="005E7FA9" w:rsidP="005E7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A9" w:rsidRPr="002D2AF8" w:rsidP="009A3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MEM26017 Prepare composite or other substrate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E7FA9" w:rsidP="009A3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4CA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28C2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F45"/>
  </w:style>
  <w:style w:type="character" w:customStyle="1" w:styleId="Heading1Char">
    <w:name w:val="Heading 1 Char"/>
    <w:basedOn w:val="DefaultParagraphFont"/>
    <w:link w:val="Heading1"/>
    <w:rsid w:val="009A3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F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F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F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F45"/>
    <w:rPr>
      <w:b/>
      <w:spacing w:val="0"/>
    </w:rPr>
  </w:style>
  <w:style w:type="paragraph" w:customStyle="1" w:styleId="SuperHeading">
    <w:name w:val="SuperHeading"/>
    <w:basedOn w:val="Normal"/>
    <w:rsid w:val="009A3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F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F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3F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3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F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3F45"/>
    <w:rPr>
      <w:i/>
    </w:rPr>
  </w:style>
  <w:style w:type="paragraph" w:styleId="Caption">
    <w:name w:val="caption"/>
    <w:basedOn w:val="BodyText"/>
    <w:next w:val="Normal"/>
    <w:qFormat/>
    <w:rsid w:val="009A3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F45"/>
  </w:style>
  <w:style w:type="paragraph" w:styleId="TableofFigures">
    <w:name w:val="table of figures"/>
    <w:basedOn w:val="Normal"/>
    <w:next w:val="Normal"/>
    <w:semiHidden/>
    <w:rsid w:val="009A3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F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3F45"/>
    <w:rPr>
      <w:rFonts w:ascii="Wingdings" w:hAnsi="Wingdings"/>
    </w:rPr>
  </w:style>
  <w:style w:type="paragraph" w:customStyle="1" w:styleId="TableHeading">
    <w:name w:val="Table Heading"/>
    <w:basedOn w:val="HeadingBase"/>
    <w:rsid w:val="009A3F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F45"/>
    <w:rPr>
      <w:color w:val="0033CC"/>
      <w:u w:val="none"/>
    </w:rPr>
  </w:style>
  <w:style w:type="paragraph" w:customStyle="1" w:styleId="BodyTextRight">
    <w:name w:val="Body Text Right"/>
    <w:basedOn w:val="BodyText"/>
    <w:rsid w:val="009A3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F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F45"/>
    <w:rPr>
      <w:sz w:val="32"/>
    </w:rPr>
  </w:style>
  <w:style w:type="paragraph" w:customStyle="1" w:styleId="HeadingProcedure">
    <w:name w:val="Heading Procedure"/>
    <w:basedOn w:val="HeadingBase"/>
    <w:next w:val="Normal"/>
    <w:rsid w:val="009A3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F45"/>
    <w:pPr>
      <w:spacing w:before="60" w:after="60"/>
    </w:pPr>
  </w:style>
  <w:style w:type="paragraph" w:styleId="ListContinue">
    <w:name w:val="List Continue"/>
    <w:basedOn w:val="List"/>
    <w:rsid w:val="009A3F45"/>
    <w:pPr>
      <w:ind w:firstLine="0"/>
    </w:pPr>
  </w:style>
  <w:style w:type="paragraph" w:customStyle="1" w:styleId="ListNote">
    <w:name w:val="List Note"/>
    <w:basedOn w:val="List"/>
    <w:rsid w:val="009A3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F45"/>
    <w:rPr>
      <w:rFonts w:ascii="Courier New" w:hAnsi="Courier New"/>
    </w:rPr>
  </w:style>
  <w:style w:type="paragraph" w:customStyle="1" w:styleId="NoteBullet">
    <w:name w:val="Note Bullet"/>
    <w:basedOn w:val="Note"/>
    <w:rsid w:val="009A3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F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3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F45"/>
    <w:rPr>
      <w:b/>
      <w:smallCaps/>
    </w:rPr>
  </w:style>
  <w:style w:type="paragraph" w:customStyle="1" w:styleId="TableListNumber">
    <w:name w:val="Table List Number"/>
    <w:basedOn w:val="ListNumber"/>
    <w:rsid w:val="009A3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F45"/>
    <w:pPr>
      <w:numPr>
        <w:numId w:val="8"/>
      </w:numPr>
    </w:pPr>
  </w:style>
  <w:style w:type="paragraph" w:customStyle="1" w:styleId="ListAlpha2">
    <w:name w:val="List Alpha 2"/>
    <w:basedOn w:val="List2"/>
    <w:rsid w:val="009A3F45"/>
    <w:pPr>
      <w:numPr>
        <w:numId w:val="7"/>
      </w:numPr>
    </w:pPr>
  </w:style>
  <w:style w:type="paragraph" w:styleId="List2">
    <w:name w:val="List 2"/>
    <w:basedOn w:val="BodyText"/>
    <w:rsid w:val="009A3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F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F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F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3F45"/>
    <w:pPr>
      <w:numPr>
        <w:numId w:val="3"/>
      </w:numPr>
    </w:pPr>
  </w:style>
  <w:style w:type="paragraph" w:styleId="ListContinue2">
    <w:name w:val="List Continue 2"/>
    <w:basedOn w:val="List2"/>
    <w:rsid w:val="009A3F45"/>
    <w:pPr>
      <w:ind w:firstLine="0"/>
    </w:pPr>
  </w:style>
  <w:style w:type="paragraph" w:styleId="ListContinue3">
    <w:name w:val="List Continue 3"/>
    <w:basedOn w:val="List3"/>
    <w:rsid w:val="009A3F45"/>
    <w:pPr>
      <w:ind w:left="1021" w:firstLine="0"/>
    </w:pPr>
  </w:style>
  <w:style w:type="paragraph" w:styleId="ListContinue4">
    <w:name w:val="List Continue 4"/>
    <w:basedOn w:val="List4"/>
    <w:rsid w:val="009A3F45"/>
    <w:pPr>
      <w:ind w:firstLine="0"/>
    </w:pPr>
  </w:style>
  <w:style w:type="paragraph" w:styleId="ListContinue5">
    <w:name w:val="List Continue 5"/>
    <w:basedOn w:val="List5"/>
    <w:rsid w:val="009A3F45"/>
    <w:pPr>
      <w:ind w:firstLine="0"/>
    </w:pPr>
  </w:style>
  <w:style w:type="paragraph" w:styleId="ListNumber3">
    <w:name w:val="List Number 3"/>
    <w:basedOn w:val="List3"/>
    <w:rsid w:val="009A3F45"/>
    <w:pPr>
      <w:numPr>
        <w:numId w:val="4"/>
      </w:numPr>
    </w:pPr>
  </w:style>
  <w:style w:type="paragraph" w:styleId="ListNumber4">
    <w:name w:val="List Number 4"/>
    <w:basedOn w:val="List4"/>
    <w:rsid w:val="009A3F45"/>
    <w:pPr>
      <w:numPr>
        <w:numId w:val="5"/>
      </w:numPr>
    </w:pPr>
  </w:style>
  <w:style w:type="paragraph" w:styleId="ListNumber5">
    <w:name w:val="List Number 5"/>
    <w:basedOn w:val="List5"/>
    <w:rsid w:val="009A3F45"/>
    <w:pPr>
      <w:numPr>
        <w:numId w:val="6"/>
      </w:numPr>
    </w:pPr>
  </w:style>
  <w:style w:type="paragraph" w:styleId="BlockText">
    <w:name w:val="Block Text"/>
    <w:basedOn w:val="Normal"/>
    <w:rsid w:val="009A3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F45"/>
    <w:rPr>
      <w:sz w:val="16"/>
      <w:vertAlign w:val="superscript"/>
    </w:rPr>
  </w:style>
  <w:style w:type="character" w:customStyle="1" w:styleId="Symbols">
    <w:name w:val="Symbols"/>
    <w:basedOn w:val="DefaultParagraphFont"/>
    <w:rsid w:val="009A3F45"/>
    <w:rPr>
      <w:rFonts w:ascii="Symbol" w:hAnsi="Symbol"/>
    </w:rPr>
  </w:style>
  <w:style w:type="character" w:customStyle="1" w:styleId="MenuOptions">
    <w:name w:val="Menu Options"/>
    <w:basedOn w:val="DefaultParagraphFont"/>
    <w:rsid w:val="009A3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F45"/>
    <w:rPr>
      <w:b/>
    </w:rPr>
  </w:style>
  <w:style w:type="character" w:customStyle="1" w:styleId="Underlined">
    <w:name w:val="Underlined"/>
    <w:basedOn w:val="DefaultParagraphFont"/>
    <w:rsid w:val="009A3F45"/>
    <w:rPr>
      <w:u w:val="single"/>
    </w:rPr>
  </w:style>
  <w:style w:type="paragraph" w:customStyle="1" w:styleId="TableBodyTextRight">
    <w:name w:val="Table Body Text Right"/>
    <w:basedOn w:val="TableBodyText"/>
    <w:rsid w:val="009A3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F45"/>
    <w:rPr>
      <w:sz w:val="18"/>
    </w:rPr>
  </w:style>
  <w:style w:type="paragraph" w:customStyle="1" w:styleId="BodySmallRight">
    <w:name w:val="Body Small Right"/>
    <w:basedOn w:val="BodyTextRight"/>
    <w:rsid w:val="009A3F45"/>
    <w:rPr>
      <w:sz w:val="18"/>
      <w:szCs w:val="18"/>
    </w:rPr>
  </w:style>
  <w:style w:type="paragraph" w:customStyle="1" w:styleId="MarginEdition">
    <w:name w:val="Margin Edition"/>
    <w:basedOn w:val="MarginNote"/>
    <w:rsid w:val="009A3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F45"/>
    <w:rPr>
      <w:sz w:val="2"/>
      <w:szCs w:val="2"/>
    </w:rPr>
  </w:style>
  <w:style w:type="character" w:customStyle="1" w:styleId="Small">
    <w:name w:val="Small"/>
    <w:basedOn w:val="DefaultParagraphFont"/>
    <w:rsid w:val="009A3F45"/>
    <w:rPr>
      <w:sz w:val="16"/>
    </w:rPr>
  </w:style>
  <w:style w:type="paragraph" w:customStyle="1" w:styleId="WideTable">
    <w:name w:val="Wide Table"/>
    <w:basedOn w:val="Normal"/>
    <w:rsid w:val="009A3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F45"/>
  </w:style>
  <w:style w:type="paragraph" w:styleId="Quote">
    <w:name w:val="Quote"/>
    <w:basedOn w:val="Heading1"/>
    <w:link w:val="QuoteChar"/>
    <w:qFormat/>
    <w:rsid w:val="009A3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F45"/>
    <w:pPr>
      <w:pageBreakBefore/>
    </w:pPr>
  </w:style>
  <w:style w:type="paragraph" w:customStyle="1" w:styleId="Border">
    <w:name w:val="Border"/>
    <w:basedOn w:val="Normal"/>
    <w:qFormat/>
    <w:rsid w:val="009A3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F45"/>
    <w:rPr>
      <w:u w:val="single"/>
    </w:rPr>
  </w:style>
  <w:style w:type="character" w:customStyle="1" w:styleId="BoldandItalics">
    <w:name w:val="Bold and Italics"/>
    <w:qFormat/>
    <w:rsid w:val="009A3F45"/>
    <w:rPr>
      <w:b/>
      <w:i/>
      <w:u w:val="none"/>
    </w:rPr>
  </w:style>
  <w:style w:type="paragraph" w:styleId="BalloonText">
    <w:name w:val="Balloon Text"/>
    <w:basedOn w:val="Normal"/>
    <w:link w:val="BalloonTextChar"/>
    <w:rsid w:val="009A3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F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F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F45"/>
    <w:pPr>
      <w:spacing w:before="0" w:after="0"/>
    </w:pPr>
  </w:style>
  <w:style w:type="paragraph" w:customStyle="1" w:styleId="BodyTextBold">
    <w:name w:val="Body Text Bold"/>
    <w:basedOn w:val="BodyText"/>
    <w:qFormat/>
    <w:rsid w:val="009A3F45"/>
    <w:rPr>
      <w:b/>
    </w:rPr>
  </w:style>
  <w:style w:type="character" w:styleId="Hyperlink">
    <w:name w:val="Hyperlink"/>
    <w:basedOn w:val="DefaultParagraphFont"/>
    <w:uiPriority w:val="99"/>
    <w:unhideWhenUsed/>
    <w:rsid w:val="005E7F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3563</Characters>
  <Application>Microsoft Office Word</Application>
  <DocSecurity>0</DocSecurity>
  <Lines>197</Lines>
  <Paragraphs>108</Paragraphs>
  <ScaleCrop>false</ScaleCrop>
  <Company>Author-it Software Corporation Ltd.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MEM26017 Prepare composite or other substrate surfaces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2023-02-03T07:38:00Z</dcterms:created>
  <dcterms:modified xsi:type="dcterms:W3CDTF">2023-02-03T07:38:00Z</dcterms:modified>
</cp:coreProperties>
</file>