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3658" w:rsidP="006A36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MEM26017 Prepare composite or other substrate surfaces</w:t>
      </w:r>
      <w:r>
        <w:fldChar w:fldCharType="end"/>
      </w:r>
    </w:p>
    <w:p w:rsidR="006A3658" w:rsidP="006A3658">
      <w:pPr>
        <w:pStyle w:val="Version"/>
        <w:sectPr w:rsidSect="00EF53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5376" w:rsidP="00EF5376">
      <w:pPr>
        <w:pStyle w:val="SuperHeading"/>
      </w:pPr>
      <w:r w:rsidRPr="00EF5376">
        <w:t>Assessment Requirements for MEM26017 Prepare composite or other substrate surfaces</w:t>
      </w:r>
    </w:p>
    <w:p w:rsidR="00000000" w:rsidRPr="00EF5376" w:rsidP="00EF5376">
      <w:pPr>
        <w:pStyle w:val="Heading1"/>
      </w:pPr>
      <w:bookmarkStart w:id="1" w:name="O_952296"/>
      <w:bookmarkEnd w:id="1"/>
      <w:r w:rsidRPr="00EF5376">
        <w:t>Modification History</w:t>
      </w:r>
    </w:p>
    <w:p w:rsidR="00000000" w:rsidRPr="00EF5376" w:rsidP="006A3658">
      <w:pPr>
        <w:pStyle w:val="BodyText"/>
      </w:pPr>
      <w:r w:rsidRPr="00EF5376">
        <w:t xml:space="preserve">Release 1. Supersedes and is equivalent to MEM26017A Prepare composite or other substrate surfaces </w:t>
      </w:r>
    </w:p>
    <w:p w:rsidR="00000000" w:rsidRPr="00EF5376" w:rsidP="00EF5376">
      <w:pPr>
        <w:pStyle w:val="Heading1"/>
      </w:pPr>
      <w:bookmarkStart w:id="2" w:name="O_952299"/>
      <w:bookmarkEnd w:id="2"/>
      <w:r w:rsidRPr="00EF5376">
        <w:t>Performance Evidence</w:t>
      </w:r>
    </w:p>
    <w:p w:rsidR="00000000" w:rsidRPr="00EF5376" w:rsidP="006A3658">
      <w:pPr>
        <w:pStyle w:val="BodyText"/>
      </w:pPr>
      <w:r w:rsidRPr="00EF5376">
        <w:t>Evidence required to demonstrate competence in this unit must be relevant to and satisfy the requirements of the elements and performance criteria on at least two (2) occasions and include:</w:t>
      </w:r>
    </w:p>
    <w:p w:rsidR="00000000" w:rsidRPr="00EF5376" w:rsidP="00EF5376">
      <w:pPr>
        <w:pStyle w:val="ListBullet"/>
      </w:pPr>
      <w:r w:rsidRPr="00EF5376">
        <w:t>following work instructions, standard operat</w:t>
      </w:r>
      <w:r w:rsidRPr="00EF5376">
        <w:t xml:space="preserve">ing procedures (SOPs) and safe work practices </w:t>
      </w:r>
    </w:p>
    <w:p w:rsidR="00000000" w:rsidRPr="00EF5376" w:rsidP="00EF5376">
      <w:pPr>
        <w:pStyle w:val="ListBullet"/>
      </w:pPr>
      <w:r w:rsidRPr="00EF5376">
        <w:t>identifying and interpreting specifications, formulas/recipes, batch sheets, safety data sheets (SDS) for preparing composite or other substrate surfaces</w:t>
      </w:r>
    </w:p>
    <w:p w:rsidR="00000000" w:rsidRPr="00EF5376" w:rsidP="00EF5376">
      <w:pPr>
        <w:pStyle w:val="ListBullet"/>
      </w:pPr>
      <w:r w:rsidRPr="00EF5376">
        <w:t>considering all reasonably suitable substrate preparati</w:t>
      </w:r>
      <w:r w:rsidRPr="00EF5376">
        <w:t>on methods when selecting and choosing the appropriate method</w:t>
      </w:r>
    </w:p>
    <w:p w:rsidR="00000000" w:rsidRPr="00EF5376" w:rsidP="00EF5376">
      <w:pPr>
        <w:pStyle w:val="ListBullet"/>
      </w:pPr>
      <w:r w:rsidRPr="00EF5376">
        <w:t>selecting the most appropriate substrate preparation and conducting/organising relevant test and evaluating the test results and making any required changes, as appropriate</w:t>
      </w:r>
    </w:p>
    <w:p w:rsidR="00000000" w:rsidRPr="00EF5376" w:rsidP="00EF5376">
      <w:pPr>
        <w:pStyle w:val="ListBullet"/>
      </w:pPr>
      <w:r w:rsidRPr="00EF5376">
        <w:t xml:space="preserve">preparing substrate, </w:t>
      </w:r>
      <w:r w:rsidRPr="00EF5376">
        <w:t>as required, controlling blasting equipment, operating blasting equipment by hand and using chemical treatment equipment in accordance with procedures</w:t>
      </w:r>
    </w:p>
    <w:p w:rsidR="00000000" w:rsidRPr="00EF5376" w:rsidP="00EF5376">
      <w:pPr>
        <w:pStyle w:val="ListBullet"/>
      </w:pPr>
      <w:r w:rsidRPr="00EF5376">
        <w:t xml:space="preserve">identifying areas for improvement and taking appropriate action </w:t>
      </w:r>
    </w:p>
    <w:p w:rsidR="00000000" w:rsidRPr="00EF5376" w:rsidP="00EF5376">
      <w:pPr>
        <w:pStyle w:val="ListBullet"/>
      </w:pPr>
      <w:r w:rsidRPr="00EF5376">
        <w:t>completing all documentation and reports</w:t>
      </w:r>
      <w:r w:rsidRPr="00EF5376">
        <w:t>, including items requiring further action, in accordance with SOPs.</w:t>
      </w:r>
    </w:p>
    <w:p w:rsidR="00000000" w:rsidRPr="00EF5376" w:rsidP="00EF5376">
      <w:pPr>
        <w:pStyle w:val="AllowPageBreak"/>
      </w:pPr>
    </w:p>
    <w:p w:rsidR="00000000" w:rsidRPr="00EF5376" w:rsidP="00EF5376">
      <w:pPr>
        <w:pStyle w:val="Heading1"/>
      </w:pPr>
      <w:bookmarkStart w:id="3" w:name="O_952298"/>
      <w:bookmarkEnd w:id="3"/>
      <w:r w:rsidRPr="00EF5376">
        <w:t>Knowledge Evidence</w:t>
      </w:r>
    </w:p>
    <w:p w:rsidR="00000000" w:rsidRPr="00EF5376" w:rsidP="006A3658">
      <w:pPr>
        <w:pStyle w:val="BodyText"/>
      </w:pPr>
      <w:r w:rsidRPr="00EF5376">
        <w:t xml:space="preserve">Evidence required to demonstrate the required knowledge for this unit must be relevant to and satisfy the requirements of the elements and performance </w:t>
      </w:r>
      <w:r w:rsidRPr="00EF5376">
        <w:t>criteria and include knowledge of:</w:t>
      </w:r>
    </w:p>
    <w:p w:rsidR="00000000" w:rsidRPr="00EF5376" w:rsidP="00EF5376">
      <w:pPr>
        <w:pStyle w:val="ListBullet"/>
      </w:pPr>
      <w:r w:rsidRPr="00EF5376">
        <w:t>safe work practices and procedures and use of personal protective equipment (PPE)</w:t>
      </w:r>
    </w:p>
    <w:p w:rsidR="00000000" w:rsidRPr="00EF5376" w:rsidP="00EF5376">
      <w:pPr>
        <w:pStyle w:val="ListBullet"/>
      </w:pPr>
      <w:r w:rsidRPr="00EF5376">
        <w:t>current state/territory work health and safety (WHS) legislation, standards and codes of practice relevant to preparing composite or other</w:t>
      </w:r>
      <w:r w:rsidRPr="00EF5376">
        <w:t xml:space="preserve"> substrate surfaces </w:t>
      </w:r>
    </w:p>
    <w:p w:rsidR="00000000" w:rsidRPr="00EF5376" w:rsidP="00EF5376">
      <w:pPr>
        <w:pStyle w:val="ListBullet"/>
      </w:pPr>
      <w:r w:rsidRPr="00EF5376">
        <w:t>methods and purposes of abrasive cleaning</w:t>
      </w:r>
    </w:p>
    <w:p w:rsidR="00000000" w:rsidRPr="00EF5376" w:rsidP="00EF5376">
      <w:pPr>
        <w:pStyle w:val="ListBullet"/>
      </w:pPr>
      <w:r w:rsidRPr="00EF5376">
        <w:t>types of abrasives and their applications (e.g. sand, bead, shot, soda and grit)</w:t>
      </w:r>
    </w:p>
    <w:p w:rsidR="00000000" w:rsidRPr="00EF5376" w:rsidP="00EF5376">
      <w:pPr>
        <w:pStyle w:val="ListBullet"/>
      </w:pPr>
      <w:r w:rsidRPr="00EF5376">
        <w:t>protection of non-blasted surfaces</w:t>
      </w:r>
    </w:p>
    <w:p w:rsidR="00000000" w:rsidRPr="00EF5376" w:rsidP="00EF5376">
      <w:pPr>
        <w:pStyle w:val="ListBullet"/>
      </w:pPr>
      <w:r w:rsidRPr="00EF5376">
        <w:t>waste control, reuse and disposal</w:t>
      </w:r>
    </w:p>
    <w:p w:rsidR="00000000" w:rsidRPr="00EF5376" w:rsidP="00EF5376">
      <w:pPr>
        <w:pStyle w:val="ListBullet"/>
      </w:pPr>
      <w:r w:rsidRPr="00EF5376">
        <w:t>hazards and the hierarchy of hazard control measures</w:t>
      </w:r>
    </w:p>
    <w:p w:rsidR="00000000" w:rsidRPr="00EF5376" w:rsidP="00EF5376">
      <w:pPr>
        <w:pStyle w:val="ListBullet"/>
      </w:pPr>
      <w:r w:rsidRPr="00EF5376">
        <w:t>work health and safety (WHS) issues and environmental considerations</w:t>
      </w:r>
    </w:p>
    <w:p w:rsidR="00000000" w:rsidRPr="00EF5376" w:rsidP="00EF5376">
      <w:pPr>
        <w:pStyle w:val="ListBullet"/>
      </w:pPr>
      <w:r w:rsidRPr="00EF5376">
        <w:t>surface preparation standards (e.g. surface measurement and surface finish)</w:t>
      </w:r>
    </w:p>
    <w:p w:rsidR="00000000" w:rsidRPr="00EF5376" w:rsidP="00EF5376">
      <w:pPr>
        <w:pStyle w:val="ListBullet"/>
      </w:pPr>
      <w:r w:rsidRPr="00EF5376">
        <w:t>types of chemical cleaning (e.g. etching and solvents)</w:t>
      </w:r>
    </w:p>
    <w:p w:rsidR="00000000" w:rsidRPr="00EF5376" w:rsidP="00EF5376">
      <w:pPr>
        <w:pStyle w:val="ListBullet"/>
      </w:pPr>
      <w:r w:rsidRPr="00EF5376">
        <w:t>ani</w:t>
      </w:r>
      <w:r w:rsidRPr="00EF5376">
        <w:t>line preparation of aluminium.</w:t>
      </w:r>
    </w:p>
    <w:p w:rsidR="00000000" w:rsidRPr="00EF5376" w:rsidP="00EF5376">
      <w:pPr>
        <w:pStyle w:val="AllowPageBreak"/>
      </w:pPr>
    </w:p>
    <w:p w:rsidR="00000000" w:rsidRPr="00EF5376" w:rsidP="00EF5376">
      <w:pPr>
        <w:pStyle w:val="Heading1"/>
      </w:pPr>
      <w:bookmarkStart w:id="4" w:name="O_952297"/>
      <w:bookmarkEnd w:id="4"/>
      <w:r w:rsidRPr="00EF5376">
        <w:t>Assessment Conditions</w:t>
      </w:r>
    </w:p>
    <w:p w:rsidR="00000000" w:rsidRPr="00EF5376" w:rsidP="00EF5376">
      <w:pPr>
        <w:pStyle w:val="ListBullet"/>
      </w:pPr>
      <w:r w:rsidRPr="00EF5376">
        <w:t>Assessors must:</w:t>
      </w:r>
    </w:p>
    <w:p w:rsidR="00000000" w:rsidRPr="00EF5376" w:rsidP="00EF5376">
      <w:pPr>
        <w:pStyle w:val="ListBullet2"/>
      </w:pPr>
      <w:r w:rsidRPr="00EF5376">
        <w:t>have vocational competency in preparing composite or other substrate surfaces at least to the level being assessed with relevant industry knowledge and experience</w:t>
      </w:r>
    </w:p>
    <w:p w:rsidR="00000000" w:rsidRPr="00EF5376" w:rsidP="00EF5376">
      <w:pPr>
        <w:pStyle w:val="ListBullet2"/>
      </w:pPr>
      <w:r w:rsidRPr="00EF5376">
        <w:t>satis</w:t>
      </w:r>
      <w:r w:rsidRPr="00EF5376">
        <w:t xml:space="preserve">fy the assessor requirements in the </w:t>
      </w:r>
      <w:r w:rsidRPr="00EF5376">
        <w:rPr>
          <w:rStyle w:val="Emphasis"/>
        </w:rPr>
        <w:t xml:space="preserve">Standards for Registered Training Organisations 2015 </w:t>
      </w:r>
      <w:r w:rsidRPr="00EF5376">
        <w:t>or its replacement</w:t>
      </w:r>
      <w:r w:rsidRPr="00EF5376">
        <w:rPr>
          <w:rStyle w:val="Emphasis"/>
        </w:rPr>
        <w:t xml:space="preserve"> </w:t>
      </w:r>
      <w:r w:rsidRPr="00EF5376">
        <w:t xml:space="preserve">and comply with the </w:t>
      </w:r>
      <w:r w:rsidRPr="00EF5376">
        <w:rPr>
          <w:rStyle w:val="Emphasis"/>
        </w:rPr>
        <w:t xml:space="preserve">National Vocational Education and Training Regulator Act 2011, </w:t>
      </w:r>
      <w:r w:rsidRPr="00EF5376">
        <w:t>its replacement</w:t>
      </w:r>
      <w:r w:rsidRPr="00EF5376">
        <w:rPr>
          <w:rStyle w:val="Emphasis"/>
        </w:rPr>
        <w:t xml:space="preserve"> </w:t>
      </w:r>
      <w:r w:rsidRPr="00EF5376">
        <w:t>or equivalent legislation covering VET regulation</w:t>
      </w:r>
      <w:r w:rsidRPr="00EF5376">
        <w:t xml:space="preserve"> in a non-referring state/territory as the case requires</w:t>
      </w:r>
    </w:p>
    <w:p w:rsidR="00000000" w:rsidRPr="00EF5376" w:rsidP="00EF5376">
      <w:pPr>
        <w:pStyle w:val="ListBullet"/>
      </w:pPr>
      <w:r w:rsidRPr="00EF5376">
        <w:t>Where possible assessment must occur in operational workplace situations. Where this is not possible or where personal safety or environmental damage are limiting factors, assessment must occur in a</w:t>
      </w:r>
      <w:r w:rsidRPr="00EF5376">
        <w:t xml:space="preserve"> sufficiently rigorous simulated environment that reflects realistic operational workplace conditions. This must cover all aspects of workplace performance, including environment, task skills, task management skills, contingency management skills and job r</w:t>
      </w:r>
      <w:r w:rsidRPr="00EF5376">
        <w:t>ole environment skills</w:t>
      </w:r>
    </w:p>
    <w:p w:rsidR="00000000" w:rsidRPr="00EF5376" w:rsidP="00EF5376">
      <w:pPr>
        <w:pStyle w:val="ListBullet"/>
      </w:pPr>
      <w:r w:rsidRPr="00EF5376">
        <w:t>Conditions for assessment must include access to all tools, equipment, materials and documentation required, including relevant workplace procedures, product and manufacturing specifications</w:t>
      </w:r>
    </w:p>
    <w:p w:rsidR="00000000" w:rsidRPr="00EF5376" w:rsidP="00EF5376">
      <w:pPr>
        <w:pStyle w:val="ListBullet"/>
      </w:pPr>
      <w:r w:rsidRPr="00EF5376">
        <w:t>Assessment processes and techniques must b</w:t>
      </w:r>
      <w:r w:rsidRPr="00EF5376">
        <w:t>e appropriate to the language, literacy and numeracy requirements of the work being performed and the needs of the candidate.</w:t>
      </w:r>
    </w:p>
    <w:p w:rsidR="00000000" w:rsidRPr="00EF5376" w:rsidP="00EF5376">
      <w:pPr>
        <w:pStyle w:val="AllowPageBreak"/>
      </w:pPr>
    </w:p>
    <w:p w:rsidR="00000000" w:rsidRPr="00EF5376" w:rsidP="00EF5376">
      <w:pPr>
        <w:pStyle w:val="Heading1"/>
      </w:pPr>
      <w:bookmarkStart w:id="5" w:name="O_952295"/>
      <w:bookmarkEnd w:id="5"/>
      <w:r w:rsidRPr="00EF5376">
        <w:t>Links</w:t>
      </w:r>
    </w:p>
    <w:p w:rsidR="00000000" w:rsidRPr="00EF5376" w:rsidP="006A3658">
      <w:pPr>
        <w:pStyle w:val="BodyText"/>
      </w:pPr>
      <w:r w:rsidRPr="00EF53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947E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F5376" w:rsidP="00EF5376"/>
    <w:sectPr w:rsidSect="00EF53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3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376" w:rsidRPr="006A3658" w:rsidP="006A36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3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658" w:rsidP="00EF53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A3658" w:rsidP="00EF53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A3658" w:rsidP="00EF53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3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6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5376" w:rsidRPr="006A3658" w:rsidP="006A36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3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658" w:rsidRPr="002D2AF8" w:rsidP="00EF53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MEM26017 Prepare composite or other substrate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6A3658" w:rsidP="00EF53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0234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4677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B8ED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53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53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53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53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53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53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53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53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53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53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53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5376"/>
  </w:style>
  <w:style w:type="character" w:customStyle="1" w:styleId="Heading1Char">
    <w:name w:val="Heading 1 Char"/>
    <w:basedOn w:val="DefaultParagraphFont"/>
    <w:link w:val="Heading1"/>
    <w:rsid w:val="00EF53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53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53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537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F537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F5376"/>
    <w:rPr>
      <w:i/>
    </w:rPr>
  </w:style>
  <w:style w:type="paragraph" w:customStyle="1" w:styleId="SuperHeading">
    <w:name w:val="SuperHeading"/>
    <w:basedOn w:val="Normal"/>
    <w:rsid w:val="00EF53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53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53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53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53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53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53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53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53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53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53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53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53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53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53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53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53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53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53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53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53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53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5376"/>
    <w:rPr>
      <w:b/>
      <w:spacing w:val="0"/>
    </w:rPr>
  </w:style>
  <w:style w:type="paragraph" w:customStyle="1" w:styleId="SuperTitle">
    <w:name w:val="SuperTitle"/>
    <w:basedOn w:val="Title"/>
    <w:rsid w:val="00EF53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53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53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53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53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53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53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53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53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53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53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537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F53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53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53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5376"/>
  </w:style>
  <w:style w:type="paragraph" w:styleId="TableofFigures">
    <w:name w:val="table of figures"/>
    <w:basedOn w:val="Normal"/>
    <w:next w:val="Normal"/>
    <w:semiHidden/>
    <w:rsid w:val="00EF53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537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F5376"/>
    <w:rPr>
      <w:rFonts w:ascii="Wingdings" w:hAnsi="Wingdings"/>
    </w:rPr>
  </w:style>
  <w:style w:type="paragraph" w:customStyle="1" w:styleId="TableHeading">
    <w:name w:val="Table Heading"/>
    <w:basedOn w:val="HeadingBase"/>
    <w:rsid w:val="00EF53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5376"/>
    <w:rPr>
      <w:color w:val="0033CC"/>
      <w:u w:val="none"/>
    </w:rPr>
  </w:style>
  <w:style w:type="paragraph" w:customStyle="1" w:styleId="BodyTextRight">
    <w:name w:val="Body Text Right"/>
    <w:basedOn w:val="BodyText"/>
    <w:rsid w:val="00EF53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53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53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53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53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53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5376"/>
    <w:rPr>
      <w:sz w:val="32"/>
    </w:rPr>
  </w:style>
  <w:style w:type="paragraph" w:customStyle="1" w:styleId="HeadingProcedure">
    <w:name w:val="Heading Procedure"/>
    <w:basedOn w:val="HeadingBase"/>
    <w:next w:val="Normal"/>
    <w:rsid w:val="00EF53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5376"/>
    <w:pPr>
      <w:spacing w:before="60" w:after="60"/>
    </w:pPr>
  </w:style>
  <w:style w:type="paragraph" w:styleId="ListContinue">
    <w:name w:val="List Continue"/>
    <w:basedOn w:val="List"/>
    <w:rsid w:val="00EF5376"/>
    <w:pPr>
      <w:ind w:firstLine="0"/>
    </w:pPr>
  </w:style>
  <w:style w:type="paragraph" w:customStyle="1" w:styleId="ListNote">
    <w:name w:val="List Note"/>
    <w:basedOn w:val="List"/>
    <w:rsid w:val="00EF53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53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53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5376"/>
    <w:rPr>
      <w:rFonts w:ascii="Courier New" w:hAnsi="Courier New"/>
    </w:rPr>
  </w:style>
  <w:style w:type="paragraph" w:customStyle="1" w:styleId="NoteBullet">
    <w:name w:val="Note Bullet"/>
    <w:basedOn w:val="Note"/>
    <w:rsid w:val="00EF53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53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53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53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53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53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53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5376"/>
    <w:rPr>
      <w:b/>
      <w:smallCaps/>
    </w:rPr>
  </w:style>
  <w:style w:type="paragraph" w:customStyle="1" w:styleId="TableListNumber">
    <w:name w:val="Table List Number"/>
    <w:basedOn w:val="ListNumber"/>
    <w:rsid w:val="00EF53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53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5376"/>
    <w:pPr>
      <w:numPr>
        <w:numId w:val="9"/>
      </w:numPr>
    </w:pPr>
  </w:style>
  <w:style w:type="paragraph" w:customStyle="1" w:styleId="ListAlpha2">
    <w:name w:val="List Alpha 2"/>
    <w:basedOn w:val="List2"/>
    <w:rsid w:val="00EF5376"/>
    <w:pPr>
      <w:numPr>
        <w:numId w:val="8"/>
      </w:numPr>
    </w:pPr>
  </w:style>
  <w:style w:type="paragraph" w:styleId="List2">
    <w:name w:val="List 2"/>
    <w:basedOn w:val="BodyText"/>
    <w:rsid w:val="00EF53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53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53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53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53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537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F5376"/>
    <w:pPr>
      <w:numPr>
        <w:numId w:val="4"/>
      </w:numPr>
    </w:pPr>
  </w:style>
  <w:style w:type="paragraph" w:styleId="ListContinue2">
    <w:name w:val="List Continue 2"/>
    <w:basedOn w:val="List2"/>
    <w:rsid w:val="00EF5376"/>
    <w:pPr>
      <w:ind w:firstLine="0"/>
    </w:pPr>
  </w:style>
  <w:style w:type="paragraph" w:styleId="ListContinue3">
    <w:name w:val="List Continue 3"/>
    <w:basedOn w:val="List3"/>
    <w:rsid w:val="00EF5376"/>
    <w:pPr>
      <w:ind w:left="1021" w:firstLine="0"/>
    </w:pPr>
  </w:style>
  <w:style w:type="paragraph" w:styleId="ListContinue4">
    <w:name w:val="List Continue 4"/>
    <w:basedOn w:val="List4"/>
    <w:rsid w:val="00EF5376"/>
    <w:pPr>
      <w:ind w:firstLine="0"/>
    </w:pPr>
  </w:style>
  <w:style w:type="paragraph" w:styleId="ListContinue5">
    <w:name w:val="List Continue 5"/>
    <w:basedOn w:val="List5"/>
    <w:rsid w:val="00EF5376"/>
    <w:pPr>
      <w:ind w:firstLine="0"/>
    </w:pPr>
  </w:style>
  <w:style w:type="paragraph" w:styleId="ListNumber3">
    <w:name w:val="List Number 3"/>
    <w:basedOn w:val="List3"/>
    <w:rsid w:val="00EF5376"/>
    <w:pPr>
      <w:numPr>
        <w:numId w:val="5"/>
      </w:numPr>
    </w:pPr>
  </w:style>
  <w:style w:type="paragraph" w:styleId="ListNumber4">
    <w:name w:val="List Number 4"/>
    <w:basedOn w:val="List4"/>
    <w:rsid w:val="00EF5376"/>
    <w:pPr>
      <w:numPr>
        <w:numId w:val="6"/>
      </w:numPr>
    </w:pPr>
  </w:style>
  <w:style w:type="paragraph" w:styleId="ListNumber5">
    <w:name w:val="List Number 5"/>
    <w:basedOn w:val="List5"/>
    <w:rsid w:val="00EF5376"/>
    <w:pPr>
      <w:numPr>
        <w:numId w:val="7"/>
      </w:numPr>
    </w:pPr>
  </w:style>
  <w:style w:type="paragraph" w:styleId="BlockText">
    <w:name w:val="Block Text"/>
    <w:basedOn w:val="Normal"/>
    <w:rsid w:val="00EF53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53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5376"/>
    <w:rPr>
      <w:sz w:val="16"/>
      <w:vertAlign w:val="superscript"/>
    </w:rPr>
  </w:style>
  <w:style w:type="character" w:customStyle="1" w:styleId="Symbols">
    <w:name w:val="Symbols"/>
    <w:basedOn w:val="DefaultParagraphFont"/>
    <w:rsid w:val="00EF5376"/>
    <w:rPr>
      <w:rFonts w:ascii="Symbol" w:hAnsi="Symbol"/>
    </w:rPr>
  </w:style>
  <w:style w:type="character" w:customStyle="1" w:styleId="MenuOptions">
    <w:name w:val="Menu Options"/>
    <w:basedOn w:val="DefaultParagraphFont"/>
    <w:rsid w:val="00EF53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5376"/>
    <w:rPr>
      <w:b/>
    </w:rPr>
  </w:style>
  <w:style w:type="character" w:customStyle="1" w:styleId="Underlined">
    <w:name w:val="Underlined"/>
    <w:basedOn w:val="DefaultParagraphFont"/>
    <w:rsid w:val="00EF5376"/>
    <w:rPr>
      <w:u w:val="single"/>
    </w:rPr>
  </w:style>
  <w:style w:type="paragraph" w:customStyle="1" w:styleId="TableBodyTextRight">
    <w:name w:val="Table Body Text Right"/>
    <w:basedOn w:val="TableBodyText"/>
    <w:rsid w:val="00EF53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5376"/>
    <w:rPr>
      <w:sz w:val="18"/>
    </w:rPr>
  </w:style>
  <w:style w:type="paragraph" w:customStyle="1" w:styleId="BodySmallRight">
    <w:name w:val="Body Small Right"/>
    <w:basedOn w:val="BodyTextRight"/>
    <w:rsid w:val="00EF5376"/>
    <w:rPr>
      <w:sz w:val="18"/>
      <w:szCs w:val="18"/>
    </w:rPr>
  </w:style>
  <w:style w:type="paragraph" w:customStyle="1" w:styleId="MarginEdition">
    <w:name w:val="Margin Edition"/>
    <w:basedOn w:val="MarginNote"/>
    <w:rsid w:val="00EF53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5376"/>
    <w:rPr>
      <w:sz w:val="2"/>
      <w:szCs w:val="2"/>
    </w:rPr>
  </w:style>
  <w:style w:type="character" w:customStyle="1" w:styleId="Small">
    <w:name w:val="Small"/>
    <w:basedOn w:val="DefaultParagraphFont"/>
    <w:rsid w:val="00EF5376"/>
    <w:rPr>
      <w:sz w:val="16"/>
    </w:rPr>
  </w:style>
  <w:style w:type="paragraph" w:customStyle="1" w:styleId="WideTable">
    <w:name w:val="Wide Table"/>
    <w:basedOn w:val="Normal"/>
    <w:rsid w:val="00EF53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5376"/>
  </w:style>
  <w:style w:type="paragraph" w:styleId="Quote">
    <w:name w:val="Quote"/>
    <w:basedOn w:val="Heading1"/>
    <w:link w:val="QuoteChar"/>
    <w:qFormat/>
    <w:rsid w:val="00EF53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53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5376"/>
    <w:pPr>
      <w:pageBreakBefore/>
    </w:pPr>
  </w:style>
  <w:style w:type="paragraph" w:customStyle="1" w:styleId="Border">
    <w:name w:val="Border"/>
    <w:basedOn w:val="Normal"/>
    <w:qFormat/>
    <w:rsid w:val="00EF53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53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53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53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53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53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53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53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53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5376"/>
    <w:rPr>
      <w:u w:val="single"/>
    </w:rPr>
  </w:style>
  <w:style w:type="character" w:customStyle="1" w:styleId="BoldandItalics">
    <w:name w:val="Bold and Italics"/>
    <w:qFormat/>
    <w:rsid w:val="00EF5376"/>
    <w:rPr>
      <w:b/>
      <w:i/>
      <w:u w:val="none"/>
    </w:rPr>
  </w:style>
  <w:style w:type="paragraph" w:styleId="BalloonText">
    <w:name w:val="Balloon Text"/>
    <w:basedOn w:val="Normal"/>
    <w:link w:val="BalloonTextChar"/>
    <w:rsid w:val="00EF53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53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53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53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53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53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5376"/>
    <w:pPr>
      <w:spacing w:before="0" w:after="0"/>
    </w:pPr>
  </w:style>
  <w:style w:type="paragraph" w:customStyle="1" w:styleId="BodyTextBold">
    <w:name w:val="Body Text Bold"/>
    <w:basedOn w:val="BodyText"/>
    <w:qFormat/>
    <w:rsid w:val="00EF5376"/>
    <w:rPr>
      <w:b/>
    </w:rPr>
  </w:style>
  <w:style w:type="character" w:styleId="Hyperlink">
    <w:name w:val="Hyperlink"/>
    <w:basedOn w:val="DefaultParagraphFont"/>
    <w:uiPriority w:val="99"/>
    <w:unhideWhenUsed/>
    <w:rsid w:val="006A36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516</Words>
  <Characters>3480</Characters>
  <Application>Microsoft Office Word</Application>
  <DocSecurity>0</DocSecurity>
  <Lines>72</Lines>
  <Paragraphs>42</Paragraphs>
  <ScaleCrop>false</ScaleCrop>
  <Company>Author-it Software Corporation Ltd.</Company>
  <LinksUpToDate>false</LinksUpToDate>
  <CharactersWithSpaces>3954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MEM26017 Prepare composite or other substrate surfaces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2023-02-03T07:17:00Z</dcterms:created>
  <dcterms:modified xsi:type="dcterms:W3CDTF">2023-02-03T07:17:00Z</dcterms:modified>
</cp:coreProperties>
</file>