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582A" w:rsidP="00DD58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MEM26016 Select and use joining techniques</w:t>
      </w:r>
      <w:r>
        <w:fldChar w:fldCharType="end"/>
      </w:r>
    </w:p>
    <w:p w:rsidR="00DD582A" w:rsidP="00DD582A">
      <w:pPr>
        <w:pStyle w:val="Version"/>
        <w:sectPr w:rsidSect="007061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61C5" w:rsidP="007061C5">
      <w:pPr>
        <w:pStyle w:val="SuperHeading"/>
      </w:pPr>
      <w:r w:rsidRPr="007061C5">
        <w:t>Assessment Requirements for MEM26016 Select and use joining techniques</w:t>
      </w:r>
    </w:p>
    <w:p w:rsidR="00000000" w:rsidRPr="007061C5" w:rsidP="007061C5">
      <w:pPr>
        <w:pStyle w:val="Heading1"/>
      </w:pPr>
      <w:bookmarkStart w:id="1" w:name="O_952277"/>
      <w:bookmarkEnd w:id="1"/>
      <w:r w:rsidRPr="007061C5">
        <w:t>Modification History</w:t>
      </w:r>
    </w:p>
    <w:p w:rsidR="00000000" w:rsidRPr="007061C5" w:rsidP="00DD582A">
      <w:pPr>
        <w:pStyle w:val="BodyText"/>
      </w:pPr>
      <w:r w:rsidRPr="007061C5">
        <w:t xml:space="preserve">Release 1. Supersedes and is equivalent to MEM26016A Select and use joining techniques </w:t>
      </w:r>
    </w:p>
    <w:p w:rsidR="00000000" w:rsidRPr="007061C5" w:rsidP="007061C5">
      <w:pPr>
        <w:pStyle w:val="Heading1"/>
      </w:pPr>
      <w:bookmarkStart w:id="2" w:name="O_952280"/>
      <w:bookmarkEnd w:id="2"/>
      <w:r w:rsidRPr="007061C5">
        <w:t>Performance Evidence</w:t>
      </w:r>
    </w:p>
    <w:p w:rsidR="00000000" w:rsidRPr="007061C5" w:rsidP="00DD582A">
      <w:pPr>
        <w:pStyle w:val="BodyText"/>
      </w:pPr>
      <w:r w:rsidRPr="007061C5">
        <w:t>Evidence required to demonstrate competence in this unit must be relevant to and satisfy the requirements of the elements and performance criteria on at least two (2) occasions and include:</w:t>
      </w:r>
    </w:p>
    <w:p w:rsidR="00000000" w:rsidRPr="007061C5" w:rsidP="007061C5">
      <w:pPr>
        <w:pStyle w:val="ListBullet"/>
      </w:pPr>
      <w:r w:rsidRPr="007061C5">
        <w:t>following work instructions, standard operating procedures (SOPs)</w:t>
      </w:r>
      <w:r w:rsidRPr="007061C5">
        <w:t xml:space="preserve"> and safe work practices </w:t>
      </w:r>
    </w:p>
    <w:p w:rsidR="00000000" w:rsidRPr="007061C5" w:rsidP="007061C5">
      <w:pPr>
        <w:pStyle w:val="ListBullet"/>
      </w:pPr>
      <w:r w:rsidRPr="007061C5">
        <w:t>identifying and interpreting specifications, formulas/recipes, batch sheets, safety data sheets (SDS) for selecting and using joining techniques</w:t>
      </w:r>
    </w:p>
    <w:p w:rsidR="00000000" w:rsidRPr="007061C5" w:rsidP="007061C5">
      <w:pPr>
        <w:pStyle w:val="ListBullet"/>
      </w:pPr>
      <w:r w:rsidRPr="007061C5">
        <w:t xml:space="preserve">considering all reasonably available joining techniques and materials when selecting </w:t>
      </w:r>
      <w:r w:rsidRPr="007061C5">
        <w:t>and choosing the appropriate technique</w:t>
      </w:r>
    </w:p>
    <w:p w:rsidR="00000000" w:rsidRPr="007061C5" w:rsidP="007061C5">
      <w:pPr>
        <w:pStyle w:val="ListBullet"/>
      </w:pPr>
      <w:r w:rsidRPr="007061C5">
        <w:t xml:space="preserve">preparing surfaces to be joined </w:t>
      </w:r>
    </w:p>
    <w:p w:rsidR="00000000" w:rsidRPr="007061C5" w:rsidP="007061C5">
      <w:pPr>
        <w:pStyle w:val="ListBullet"/>
      </w:pPr>
      <w:r w:rsidRPr="007061C5">
        <w:t>making a sample join and conducting/organising relevant test and evaluating the test results and making any required changes, as appropriate</w:t>
      </w:r>
    </w:p>
    <w:p w:rsidR="00000000" w:rsidRPr="007061C5" w:rsidP="007061C5">
      <w:pPr>
        <w:pStyle w:val="ListBullet"/>
      </w:pPr>
      <w:r w:rsidRPr="007061C5">
        <w:t>completing the required join using hand and</w:t>
      </w:r>
      <w:r w:rsidRPr="007061C5">
        <w:t xml:space="preserve"> power tools, applying assembly techniques and applying bonding joiner and techniques and minimising waste in accordance with procedures</w:t>
      </w:r>
    </w:p>
    <w:p w:rsidR="00000000" w:rsidRPr="007061C5" w:rsidP="007061C5">
      <w:pPr>
        <w:pStyle w:val="ListBullet"/>
      </w:pPr>
      <w:r w:rsidRPr="007061C5">
        <w:t xml:space="preserve">identifying areas for improvement and taking appropriate action </w:t>
      </w:r>
    </w:p>
    <w:p w:rsidR="00000000" w:rsidRPr="007061C5" w:rsidP="007061C5">
      <w:pPr>
        <w:pStyle w:val="ListBullet"/>
      </w:pPr>
      <w:r w:rsidRPr="007061C5">
        <w:t>completing all documentation and reporting items requi</w:t>
      </w:r>
      <w:r w:rsidRPr="007061C5">
        <w:t>ring further action in accordance with SOPs.</w:t>
      </w:r>
    </w:p>
    <w:p w:rsidR="00000000" w:rsidRPr="007061C5" w:rsidP="007061C5">
      <w:pPr>
        <w:pStyle w:val="AllowPageBreak"/>
      </w:pPr>
    </w:p>
    <w:p w:rsidR="00000000" w:rsidRPr="007061C5" w:rsidP="007061C5">
      <w:pPr>
        <w:pStyle w:val="Heading1"/>
      </w:pPr>
      <w:bookmarkStart w:id="3" w:name="O_952279"/>
      <w:bookmarkEnd w:id="3"/>
      <w:r w:rsidRPr="007061C5">
        <w:t>Knowledge Evidence</w:t>
      </w:r>
    </w:p>
    <w:p w:rsidR="00000000" w:rsidRPr="007061C5" w:rsidP="00DD582A">
      <w:pPr>
        <w:pStyle w:val="BodyText"/>
      </w:pPr>
      <w:r w:rsidRPr="007061C5">
        <w:t>Evidence required to demonstrate the required knowledge for this unit must be relevant to and satisfy the requirements of the elements and performance criteria and include kno</w:t>
      </w:r>
      <w:r w:rsidRPr="007061C5">
        <w:t>wledge of:</w:t>
      </w:r>
    </w:p>
    <w:p w:rsidR="00000000" w:rsidRPr="007061C5" w:rsidP="007061C5">
      <w:pPr>
        <w:pStyle w:val="ListBullet"/>
      </w:pPr>
      <w:r w:rsidRPr="007061C5">
        <w:t>safe work practices and procedures and use of personal protective equipment (PPE)</w:t>
      </w:r>
    </w:p>
    <w:p w:rsidR="00000000" w:rsidRPr="007061C5" w:rsidP="007061C5">
      <w:pPr>
        <w:pStyle w:val="ListBullet"/>
      </w:pPr>
      <w:r w:rsidRPr="007061C5">
        <w:t>adhesives (e.g. plexus – methylmethacrylate)</w:t>
      </w:r>
    </w:p>
    <w:p w:rsidR="00000000" w:rsidRPr="007061C5" w:rsidP="007061C5">
      <w:pPr>
        <w:pStyle w:val="ListBullet"/>
      </w:pPr>
      <w:r w:rsidRPr="007061C5">
        <w:t>sealants (e.g. sikaflex – silicon or butyl mastic)</w:t>
      </w:r>
    </w:p>
    <w:p w:rsidR="00000000" w:rsidRPr="007061C5" w:rsidP="007061C5">
      <w:pPr>
        <w:pStyle w:val="ListBullet"/>
      </w:pPr>
      <w:r w:rsidRPr="007061C5">
        <w:t>mechanical joining</w:t>
      </w:r>
    </w:p>
    <w:p w:rsidR="00000000" w:rsidRPr="007061C5" w:rsidP="007061C5">
      <w:pPr>
        <w:pStyle w:val="ListBullet"/>
      </w:pPr>
      <w:r w:rsidRPr="007061C5">
        <w:t>substrates and interactions with joiner</w:t>
      </w:r>
    </w:p>
    <w:p w:rsidR="00000000" w:rsidRPr="007061C5" w:rsidP="007061C5">
      <w:pPr>
        <w:pStyle w:val="ListBullet"/>
      </w:pPr>
      <w:r w:rsidRPr="007061C5">
        <w:t>surface preparation of substrate</w:t>
      </w:r>
    </w:p>
    <w:p w:rsidR="00000000" w:rsidRPr="007061C5" w:rsidP="007061C5">
      <w:pPr>
        <w:pStyle w:val="ListBullet"/>
      </w:pPr>
      <w:r w:rsidRPr="007061C5">
        <w:t>application methods</w:t>
      </w:r>
    </w:p>
    <w:p w:rsidR="00000000" w:rsidRPr="007061C5" w:rsidP="007061C5">
      <w:pPr>
        <w:pStyle w:val="ListBullet"/>
      </w:pPr>
      <w:r w:rsidRPr="007061C5">
        <w:t>clamping forces (minimum and maximum)</w:t>
      </w:r>
    </w:p>
    <w:p w:rsidR="00000000" w:rsidRPr="007061C5" w:rsidP="007061C5">
      <w:pPr>
        <w:pStyle w:val="ListBullet"/>
      </w:pPr>
      <w:r w:rsidRPr="007061C5">
        <w:t>adhesive/sealant thickness</w:t>
      </w:r>
    </w:p>
    <w:p w:rsidR="00000000" w:rsidRPr="007061C5" w:rsidP="007061C5">
      <w:pPr>
        <w:pStyle w:val="ListBullet"/>
      </w:pPr>
      <w:r w:rsidRPr="007061C5">
        <w:t>primers</w:t>
      </w:r>
    </w:p>
    <w:p w:rsidR="00000000" w:rsidRPr="007061C5" w:rsidP="007061C5">
      <w:pPr>
        <w:pStyle w:val="ListBullet"/>
      </w:pPr>
      <w:r w:rsidRPr="007061C5">
        <w:t>design rules around fastening (e.g. minimum area for pop rivets, rivet spacing and rivet patterns)</w:t>
      </w:r>
    </w:p>
    <w:p w:rsidR="00000000" w:rsidRPr="007061C5" w:rsidP="007061C5">
      <w:pPr>
        <w:pStyle w:val="ListBullet"/>
      </w:pPr>
      <w:r w:rsidRPr="007061C5">
        <w:t>edge finish of pilot holes</w:t>
      </w:r>
    </w:p>
    <w:p w:rsidR="00000000" w:rsidRPr="007061C5" w:rsidP="007061C5">
      <w:pPr>
        <w:pStyle w:val="ListBullet"/>
      </w:pPr>
      <w:r w:rsidRPr="007061C5">
        <w:t>qual</w:t>
      </w:r>
      <w:r w:rsidRPr="007061C5">
        <w:t>ity requirements with the hole preparation and with the installation of fasteners</w:t>
      </w:r>
    </w:p>
    <w:p w:rsidR="00000000" w:rsidRPr="007061C5" w:rsidP="007061C5">
      <w:pPr>
        <w:pStyle w:val="ListBullet"/>
      </w:pPr>
      <w:r w:rsidRPr="007061C5">
        <w:t>radius of edge of laminate</w:t>
      </w:r>
    </w:p>
    <w:p w:rsidR="00000000" w:rsidRPr="007061C5" w:rsidP="007061C5">
      <w:pPr>
        <w:pStyle w:val="ListBullet"/>
      </w:pPr>
      <w:r w:rsidRPr="007061C5">
        <w:t>effect of flatness and smoothness of joining surfaces</w:t>
      </w:r>
    </w:p>
    <w:p w:rsidR="00000000" w:rsidRPr="007061C5" w:rsidP="007061C5">
      <w:pPr>
        <w:pStyle w:val="ListBullet"/>
      </w:pPr>
      <w:r w:rsidRPr="007061C5">
        <w:t>substrate composition in joining area.</w:t>
      </w:r>
    </w:p>
    <w:p w:rsidR="00000000" w:rsidRPr="007061C5" w:rsidP="007061C5">
      <w:pPr>
        <w:pStyle w:val="AllowPageBreak"/>
      </w:pPr>
    </w:p>
    <w:p w:rsidR="00000000" w:rsidRPr="007061C5" w:rsidP="007061C5">
      <w:pPr>
        <w:pStyle w:val="Heading1"/>
      </w:pPr>
      <w:bookmarkStart w:id="4" w:name="O_952278"/>
      <w:bookmarkEnd w:id="4"/>
      <w:r w:rsidRPr="007061C5">
        <w:t>Assessment Conditions</w:t>
      </w:r>
    </w:p>
    <w:p w:rsidR="00000000" w:rsidRPr="007061C5" w:rsidP="007061C5">
      <w:pPr>
        <w:pStyle w:val="ListBullet"/>
      </w:pPr>
      <w:r w:rsidRPr="007061C5">
        <w:t>Assessors must</w:t>
      </w:r>
      <w:r w:rsidRPr="007061C5">
        <w:t>:</w:t>
      </w:r>
    </w:p>
    <w:p w:rsidR="00000000" w:rsidRPr="007061C5" w:rsidP="007061C5">
      <w:pPr>
        <w:pStyle w:val="ListBullet2"/>
      </w:pPr>
      <w:r w:rsidRPr="007061C5">
        <w:t>have vocational competency in selecting and using joining techniques at least to the level being assessed with relevant industry knowledge and experience</w:t>
      </w:r>
    </w:p>
    <w:p w:rsidR="00000000" w:rsidRPr="007061C5" w:rsidP="007061C5">
      <w:pPr>
        <w:pStyle w:val="ListBullet2"/>
      </w:pPr>
      <w:r w:rsidRPr="007061C5">
        <w:t xml:space="preserve">satisfy the assessor requirements in the </w:t>
      </w:r>
      <w:r w:rsidRPr="007061C5">
        <w:rPr>
          <w:rStyle w:val="Emphasis"/>
        </w:rPr>
        <w:t xml:space="preserve">Standards for Registered Training Organisations 2015 </w:t>
      </w:r>
      <w:r w:rsidRPr="007061C5">
        <w:t>or its replacement</w:t>
      </w:r>
      <w:r w:rsidRPr="007061C5">
        <w:rPr>
          <w:rStyle w:val="Emphasis"/>
        </w:rPr>
        <w:t xml:space="preserve"> </w:t>
      </w:r>
      <w:r w:rsidRPr="007061C5">
        <w:t xml:space="preserve">and comply with the </w:t>
      </w:r>
      <w:r w:rsidRPr="007061C5">
        <w:rPr>
          <w:rStyle w:val="Emphasis"/>
        </w:rPr>
        <w:t xml:space="preserve">National Vocational Education and Training Regulator Act 2011, </w:t>
      </w:r>
      <w:r w:rsidRPr="007061C5">
        <w:t>its replacement</w:t>
      </w:r>
      <w:r w:rsidRPr="007061C5">
        <w:rPr>
          <w:rStyle w:val="Emphasis"/>
        </w:rPr>
        <w:t xml:space="preserve"> </w:t>
      </w:r>
      <w:r w:rsidRPr="007061C5">
        <w:t>or equivalent legislation covering VET regulation in a non-referring state/territory as the case requires</w:t>
      </w:r>
    </w:p>
    <w:p w:rsidR="00000000" w:rsidRPr="007061C5" w:rsidP="007061C5">
      <w:pPr>
        <w:pStyle w:val="ListBullet"/>
      </w:pPr>
      <w:r w:rsidRPr="007061C5">
        <w:t xml:space="preserve">Where possible assessment must </w:t>
      </w:r>
      <w:r w:rsidRPr="007061C5">
        <w:t>occur in operational workplace situations. Where this is not possible or where personal safety or environmental damage are limiting factors, assessment must occur in a sufficiently rigorous simulated environment that reflects realistic operational workplac</w:t>
      </w:r>
      <w:r w:rsidRPr="007061C5">
        <w:t>e conditions. This must cover all aspects of workplace performance, including environment, task skills, task management skills, contingency management skills and job role environment skills</w:t>
      </w:r>
    </w:p>
    <w:p w:rsidR="00000000" w:rsidRPr="007061C5" w:rsidP="007061C5">
      <w:pPr>
        <w:pStyle w:val="ListBullet"/>
      </w:pPr>
      <w:r w:rsidRPr="007061C5">
        <w:t>Conditions for assessment must include access to all tools, equipm</w:t>
      </w:r>
      <w:r w:rsidRPr="007061C5">
        <w:t>ent, materials and documentation required, including relevant workplace procedures, product and manufacturing specifications</w:t>
      </w:r>
    </w:p>
    <w:p w:rsidR="00000000" w:rsidRPr="007061C5" w:rsidP="007061C5">
      <w:pPr>
        <w:pStyle w:val="ListBullet"/>
      </w:pPr>
      <w:r w:rsidRPr="007061C5">
        <w:t>Assessment processes and techniques must be appropriate to the language, literacy and numeracy requirements of the work being perfo</w:t>
      </w:r>
      <w:r w:rsidRPr="007061C5">
        <w:t>rmed and the needs of the candidate.</w:t>
      </w:r>
    </w:p>
    <w:p w:rsidR="00000000" w:rsidRPr="007061C5" w:rsidP="007061C5">
      <w:pPr>
        <w:pStyle w:val="AllowPageBreak"/>
      </w:pPr>
    </w:p>
    <w:p w:rsidR="00000000" w:rsidRPr="007061C5" w:rsidP="007061C5">
      <w:pPr>
        <w:pStyle w:val="Heading1"/>
      </w:pPr>
      <w:bookmarkStart w:id="5" w:name="O_952276"/>
      <w:bookmarkEnd w:id="5"/>
      <w:r w:rsidRPr="007061C5">
        <w:t>Links</w:t>
      </w:r>
    </w:p>
    <w:p w:rsidR="00000000" w:rsidRPr="007061C5" w:rsidP="00DD582A">
      <w:pPr>
        <w:pStyle w:val="BodyText"/>
      </w:pPr>
      <w:r w:rsidRPr="007061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164D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061C5" w:rsidP="007061C5"/>
    <w:sectPr w:rsidSect="007061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1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1C5" w:rsidRPr="00DD582A" w:rsidP="00DD58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1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82A" w:rsidP="007061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582A" w:rsidP="007061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D582A" w:rsidP="007061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1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8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61C5" w:rsidRPr="00DD582A" w:rsidP="00DD58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1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82A" w:rsidRPr="002D2AF8" w:rsidP="007061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MEM26016 Select and use joining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D582A" w:rsidP="007061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AECD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ECEE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76D9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1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61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61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61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61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61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61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61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61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61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61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61C5"/>
  </w:style>
  <w:style w:type="character" w:customStyle="1" w:styleId="Heading1Char">
    <w:name w:val="Heading 1 Char"/>
    <w:basedOn w:val="DefaultParagraphFont"/>
    <w:link w:val="Heading1"/>
    <w:rsid w:val="007061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61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61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61C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061C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061C5"/>
    <w:rPr>
      <w:i/>
    </w:rPr>
  </w:style>
  <w:style w:type="paragraph" w:customStyle="1" w:styleId="SuperHeading">
    <w:name w:val="SuperHeading"/>
    <w:basedOn w:val="Normal"/>
    <w:rsid w:val="007061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61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61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61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61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61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61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61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61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61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61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61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61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61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61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61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61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61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61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61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61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61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61C5"/>
    <w:rPr>
      <w:b/>
      <w:spacing w:val="0"/>
    </w:rPr>
  </w:style>
  <w:style w:type="paragraph" w:customStyle="1" w:styleId="SuperTitle">
    <w:name w:val="SuperTitle"/>
    <w:basedOn w:val="Title"/>
    <w:rsid w:val="007061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61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61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61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61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61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61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61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61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61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61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61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61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61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61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61C5"/>
  </w:style>
  <w:style w:type="paragraph" w:styleId="TableofFigures">
    <w:name w:val="table of figures"/>
    <w:basedOn w:val="Normal"/>
    <w:next w:val="Normal"/>
    <w:semiHidden/>
    <w:rsid w:val="007061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61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61C5"/>
    <w:rPr>
      <w:rFonts w:ascii="Wingdings" w:hAnsi="Wingdings"/>
    </w:rPr>
  </w:style>
  <w:style w:type="paragraph" w:customStyle="1" w:styleId="TableHeading">
    <w:name w:val="Table Heading"/>
    <w:basedOn w:val="HeadingBase"/>
    <w:rsid w:val="007061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61C5"/>
    <w:rPr>
      <w:color w:val="0033CC"/>
      <w:u w:val="none"/>
    </w:rPr>
  </w:style>
  <w:style w:type="paragraph" w:customStyle="1" w:styleId="BodyTextRight">
    <w:name w:val="Body Text Right"/>
    <w:basedOn w:val="BodyText"/>
    <w:rsid w:val="007061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61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61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61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61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61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61C5"/>
    <w:rPr>
      <w:sz w:val="32"/>
    </w:rPr>
  </w:style>
  <w:style w:type="paragraph" w:customStyle="1" w:styleId="HeadingProcedure">
    <w:name w:val="Heading Procedure"/>
    <w:basedOn w:val="HeadingBase"/>
    <w:next w:val="Normal"/>
    <w:rsid w:val="007061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61C5"/>
    <w:pPr>
      <w:spacing w:before="60" w:after="60"/>
    </w:pPr>
  </w:style>
  <w:style w:type="paragraph" w:styleId="ListContinue">
    <w:name w:val="List Continue"/>
    <w:basedOn w:val="List"/>
    <w:rsid w:val="007061C5"/>
    <w:pPr>
      <w:ind w:firstLine="0"/>
    </w:pPr>
  </w:style>
  <w:style w:type="paragraph" w:customStyle="1" w:styleId="ListNote">
    <w:name w:val="List Note"/>
    <w:basedOn w:val="List"/>
    <w:rsid w:val="007061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61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61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61C5"/>
    <w:rPr>
      <w:rFonts w:ascii="Courier New" w:hAnsi="Courier New"/>
    </w:rPr>
  </w:style>
  <w:style w:type="paragraph" w:customStyle="1" w:styleId="NoteBullet">
    <w:name w:val="Note Bullet"/>
    <w:basedOn w:val="Note"/>
    <w:rsid w:val="007061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61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61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61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61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61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61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61C5"/>
    <w:rPr>
      <w:b/>
      <w:smallCaps/>
    </w:rPr>
  </w:style>
  <w:style w:type="paragraph" w:customStyle="1" w:styleId="TableListNumber">
    <w:name w:val="Table List Number"/>
    <w:basedOn w:val="ListNumber"/>
    <w:rsid w:val="007061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61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61C5"/>
    <w:pPr>
      <w:numPr>
        <w:numId w:val="9"/>
      </w:numPr>
    </w:pPr>
  </w:style>
  <w:style w:type="paragraph" w:customStyle="1" w:styleId="ListAlpha2">
    <w:name w:val="List Alpha 2"/>
    <w:basedOn w:val="List2"/>
    <w:rsid w:val="007061C5"/>
    <w:pPr>
      <w:numPr>
        <w:numId w:val="8"/>
      </w:numPr>
    </w:pPr>
  </w:style>
  <w:style w:type="paragraph" w:styleId="List2">
    <w:name w:val="List 2"/>
    <w:basedOn w:val="BodyText"/>
    <w:rsid w:val="007061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61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61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61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61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61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61C5"/>
    <w:pPr>
      <w:numPr>
        <w:numId w:val="4"/>
      </w:numPr>
    </w:pPr>
  </w:style>
  <w:style w:type="paragraph" w:styleId="ListContinue2">
    <w:name w:val="List Continue 2"/>
    <w:basedOn w:val="List2"/>
    <w:rsid w:val="007061C5"/>
    <w:pPr>
      <w:ind w:firstLine="0"/>
    </w:pPr>
  </w:style>
  <w:style w:type="paragraph" w:styleId="ListContinue3">
    <w:name w:val="List Continue 3"/>
    <w:basedOn w:val="List3"/>
    <w:rsid w:val="007061C5"/>
    <w:pPr>
      <w:ind w:left="1021" w:firstLine="0"/>
    </w:pPr>
  </w:style>
  <w:style w:type="paragraph" w:styleId="ListContinue4">
    <w:name w:val="List Continue 4"/>
    <w:basedOn w:val="List4"/>
    <w:rsid w:val="007061C5"/>
    <w:pPr>
      <w:ind w:firstLine="0"/>
    </w:pPr>
  </w:style>
  <w:style w:type="paragraph" w:styleId="ListContinue5">
    <w:name w:val="List Continue 5"/>
    <w:basedOn w:val="List5"/>
    <w:rsid w:val="007061C5"/>
    <w:pPr>
      <w:ind w:firstLine="0"/>
    </w:pPr>
  </w:style>
  <w:style w:type="paragraph" w:styleId="ListNumber3">
    <w:name w:val="List Number 3"/>
    <w:basedOn w:val="List3"/>
    <w:rsid w:val="007061C5"/>
    <w:pPr>
      <w:numPr>
        <w:numId w:val="5"/>
      </w:numPr>
    </w:pPr>
  </w:style>
  <w:style w:type="paragraph" w:styleId="ListNumber4">
    <w:name w:val="List Number 4"/>
    <w:basedOn w:val="List4"/>
    <w:rsid w:val="007061C5"/>
    <w:pPr>
      <w:numPr>
        <w:numId w:val="6"/>
      </w:numPr>
    </w:pPr>
  </w:style>
  <w:style w:type="paragraph" w:styleId="ListNumber5">
    <w:name w:val="List Number 5"/>
    <w:basedOn w:val="List5"/>
    <w:rsid w:val="007061C5"/>
    <w:pPr>
      <w:numPr>
        <w:numId w:val="7"/>
      </w:numPr>
    </w:pPr>
  </w:style>
  <w:style w:type="paragraph" w:styleId="BlockText">
    <w:name w:val="Block Text"/>
    <w:basedOn w:val="Normal"/>
    <w:rsid w:val="007061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61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61C5"/>
    <w:rPr>
      <w:sz w:val="16"/>
      <w:vertAlign w:val="superscript"/>
    </w:rPr>
  </w:style>
  <w:style w:type="character" w:customStyle="1" w:styleId="Symbols">
    <w:name w:val="Symbols"/>
    <w:basedOn w:val="DefaultParagraphFont"/>
    <w:rsid w:val="007061C5"/>
    <w:rPr>
      <w:rFonts w:ascii="Symbol" w:hAnsi="Symbol"/>
    </w:rPr>
  </w:style>
  <w:style w:type="character" w:customStyle="1" w:styleId="MenuOptions">
    <w:name w:val="Menu Options"/>
    <w:basedOn w:val="DefaultParagraphFont"/>
    <w:rsid w:val="007061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61C5"/>
    <w:rPr>
      <w:b/>
    </w:rPr>
  </w:style>
  <w:style w:type="character" w:customStyle="1" w:styleId="Underlined">
    <w:name w:val="Underlined"/>
    <w:basedOn w:val="DefaultParagraphFont"/>
    <w:rsid w:val="007061C5"/>
    <w:rPr>
      <w:u w:val="single"/>
    </w:rPr>
  </w:style>
  <w:style w:type="paragraph" w:customStyle="1" w:styleId="TableBodyTextRight">
    <w:name w:val="Table Body Text Right"/>
    <w:basedOn w:val="TableBodyText"/>
    <w:rsid w:val="007061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61C5"/>
    <w:rPr>
      <w:sz w:val="18"/>
    </w:rPr>
  </w:style>
  <w:style w:type="paragraph" w:customStyle="1" w:styleId="BodySmallRight">
    <w:name w:val="Body Small Right"/>
    <w:basedOn w:val="BodyTextRight"/>
    <w:rsid w:val="007061C5"/>
    <w:rPr>
      <w:sz w:val="18"/>
      <w:szCs w:val="18"/>
    </w:rPr>
  </w:style>
  <w:style w:type="paragraph" w:customStyle="1" w:styleId="MarginEdition">
    <w:name w:val="Margin Edition"/>
    <w:basedOn w:val="MarginNote"/>
    <w:rsid w:val="007061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61C5"/>
    <w:rPr>
      <w:sz w:val="2"/>
      <w:szCs w:val="2"/>
    </w:rPr>
  </w:style>
  <w:style w:type="character" w:customStyle="1" w:styleId="Small">
    <w:name w:val="Small"/>
    <w:basedOn w:val="DefaultParagraphFont"/>
    <w:rsid w:val="007061C5"/>
    <w:rPr>
      <w:sz w:val="16"/>
    </w:rPr>
  </w:style>
  <w:style w:type="paragraph" w:customStyle="1" w:styleId="WideTable">
    <w:name w:val="Wide Table"/>
    <w:basedOn w:val="Normal"/>
    <w:rsid w:val="007061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61C5"/>
  </w:style>
  <w:style w:type="paragraph" w:styleId="Quote">
    <w:name w:val="Quote"/>
    <w:basedOn w:val="Heading1"/>
    <w:link w:val="QuoteChar"/>
    <w:qFormat/>
    <w:rsid w:val="007061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61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61C5"/>
    <w:pPr>
      <w:pageBreakBefore/>
    </w:pPr>
  </w:style>
  <w:style w:type="paragraph" w:customStyle="1" w:styleId="Border">
    <w:name w:val="Border"/>
    <w:basedOn w:val="Normal"/>
    <w:qFormat/>
    <w:rsid w:val="007061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61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61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61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61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61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61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61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61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61C5"/>
    <w:rPr>
      <w:u w:val="single"/>
    </w:rPr>
  </w:style>
  <w:style w:type="character" w:customStyle="1" w:styleId="BoldandItalics">
    <w:name w:val="Bold and Italics"/>
    <w:qFormat/>
    <w:rsid w:val="007061C5"/>
    <w:rPr>
      <w:b/>
      <w:i/>
      <w:u w:val="none"/>
    </w:rPr>
  </w:style>
  <w:style w:type="paragraph" w:styleId="BalloonText">
    <w:name w:val="Balloon Text"/>
    <w:basedOn w:val="Normal"/>
    <w:link w:val="BalloonTextChar"/>
    <w:rsid w:val="007061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61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61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61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61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61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61C5"/>
    <w:pPr>
      <w:spacing w:before="0" w:after="0"/>
    </w:pPr>
  </w:style>
  <w:style w:type="paragraph" w:customStyle="1" w:styleId="BodyTextBold">
    <w:name w:val="Body Text Bold"/>
    <w:basedOn w:val="BodyText"/>
    <w:qFormat/>
    <w:rsid w:val="007061C5"/>
    <w:rPr>
      <w:b/>
    </w:rPr>
  </w:style>
  <w:style w:type="character" w:styleId="Hyperlink">
    <w:name w:val="Hyperlink"/>
    <w:basedOn w:val="DefaultParagraphFont"/>
    <w:uiPriority w:val="99"/>
    <w:unhideWhenUsed/>
    <w:rsid w:val="00DD58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514</Words>
  <Characters>3409</Characters>
  <Application>Microsoft Office Word</Application>
  <DocSecurity>0</DocSecurity>
  <Lines>77</Lines>
  <Paragraphs>49</Paragraphs>
  <ScaleCrop>false</ScaleCrop>
  <Company>Author-it Software Corporation Ltd.</Company>
  <LinksUpToDate>false</LinksUpToDate>
  <CharactersWithSpaces>3874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MEM26016 Select and use joining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2023-02-03T06:36:00Z</dcterms:created>
  <dcterms:modified xsi:type="dcterms:W3CDTF">2023-02-03T06:36:00Z</dcterms:modified>
</cp:coreProperties>
</file>