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86D" w:rsidP="00746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MEM26011 Determine materials and techniques for a composite component or product</w:t>
      </w:r>
      <w:r>
        <w:fldChar w:fldCharType="end"/>
      </w:r>
    </w:p>
    <w:p w:rsidR="0074686D" w:rsidP="0074686D">
      <w:pPr>
        <w:pStyle w:val="Version"/>
        <w:sectPr w:rsidSect="00374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CEC" w:rsidP="00374CEC">
      <w:pPr>
        <w:pStyle w:val="SuperHeading"/>
      </w:pPr>
      <w:r w:rsidRPr="00374CEC">
        <w:t>MEM26011 Dete</w:t>
      </w:r>
      <w:r w:rsidRPr="00374CEC">
        <w:t>rmine materials and techniques for a composite component or product</w:t>
      </w:r>
    </w:p>
    <w:p w:rsidR="00000000" w:rsidRPr="00374CEC" w:rsidP="00374CEC">
      <w:pPr>
        <w:pStyle w:val="Heading1"/>
      </w:pPr>
      <w:bookmarkStart w:id="1" w:name="O_952186"/>
      <w:bookmarkEnd w:id="1"/>
      <w:r w:rsidRPr="00374CEC">
        <w:t>Modification History</w:t>
      </w:r>
    </w:p>
    <w:p w:rsidR="00000000" w:rsidRPr="00374CEC" w:rsidP="0074686D">
      <w:pPr>
        <w:pStyle w:val="BodyText"/>
      </w:pPr>
      <w:r w:rsidRPr="00374CEC">
        <w:t xml:space="preserve">Release 1. Supersedes and is equivalent to MEM26011A Determine materials and techniques for a composite component or product </w:t>
      </w:r>
    </w:p>
    <w:p w:rsidR="00000000" w:rsidRPr="00374CEC" w:rsidP="00374CEC">
      <w:pPr>
        <w:pStyle w:val="Heading1"/>
      </w:pPr>
      <w:bookmarkStart w:id="2" w:name="O_952194"/>
      <w:bookmarkEnd w:id="2"/>
      <w:r w:rsidRPr="00374CEC">
        <w:t>Application</w:t>
      </w:r>
    </w:p>
    <w:p w:rsidR="00000000" w:rsidRPr="00374CEC" w:rsidP="0074686D">
      <w:pPr>
        <w:pStyle w:val="BodyText"/>
      </w:pPr>
      <w:r w:rsidRPr="00374CEC">
        <w:t>This unit of competency defines the skills and knowledge required to select and use resin system/reinforcing combinations for a composite product. It includes the science of reinforcing, and core and resin interactions. It also includes basic d</w:t>
      </w:r>
      <w:r w:rsidRPr="00374CEC">
        <w:t xml:space="preserve">esign of a composite component/product but does not include structural design. </w:t>
      </w:r>
    </w:p>
    <w:p w:rsidR="00000000" w:rsidRPr="00374CEC" w:rsidP="0074686D">
      <w:pPr>
        <w:pStyle w:val="BodyText"/>
      </w:pPr>
      <w:r w:rsidRPr="00374CEC">
        <w:t xml:space="preserve">This unit builds on the units covering the selection and use of reinforcing and resins and in particular covers the interactions between resins and reinforcement. </w:t>
      </w:r>
    </w:p>
    <w:p w:rsidR="00000000" w:rsidRPr="00374CEC" w:rsidP="0074686D">
      <w:pPr>
        <w:pStyle w:val="BodyText"/>
      </w:pPr>
      <w:r w:rsidRPr="00374CEC">
        <w:t>Flow of fl</w:t>
      </w:r>
      <w:r w:rsidRPr="00374CEC">
        <w:t>uid in porous media is described by Darcy’s Law and this will need to the applied in this unit.</w:t>
      </w:r>
    </w:p>
    <w:p w:rsidR="00000000" w:rsidRPr="00374CEC" w:rsidP="0074686D">
      <w:pPr>
        <w:pStyle w:val="BodyText"/>
      </w:pPr>
      <w:r w:rsidRPr="00374CEC">
        <w:t>No licensing, legislative or certification requirements apply to this unit at the time of publication.</w:t>
      </w:r>
    </w:p>
    <w:p w:rsidR="00000000" w:rsidRPr="00374CEC" w:rsidP="00374CEC">
      <w:pPr>
        <w:pStyle w:val="BodyText"/>
      </w:pPr>
      <w:r w:rsidRPr="00374CEC">
        <w:rPr>
          <w:rStyle w:val="SpecialBold"/>
        </w:rPr>
        <w:t>Band</w:t>
      </w:r>
      <w:r w:rsidRPr="00374CEC">
        <w:t>:</w:t>
      </w:r>
      <w:r w:rsidRPr="00374CEC">
        <w:tab/>
      </w:r>
      <w:r w:rsidRPr="00374CEC">
        <w:rPr>
          <w:rStyle w:val="SpecialBold"/>
        </w:rPr>
        <w:t>A</w:t>
      </w:r>
    </w:p>
    <w:p w:rsidR="00000000" w:rsidRPr="00374CEC" w:rsidP="00374CEC">
      <w:pPr>
        <w:pStyle w:val="BodyText"/>
      </w:pPr>
      <w:r w:rsidRPr="00374CEC">
        <w:rPr>
          <w:rStyle w:val="SpecialBold"/>
        </w:rPr>
        <w:t>Unit Weight:</w:t>
      </w:r>
      <w:r w:rsidRPr="00374CEC">
        <w:rPr>
          <w:rStyle w:val="SpecialBold"/>
        </w:rPr>
        <w:tab/>
        <w:t>6</w:t>
      </w:r>
    </w:p>
    <w:p w:rsidR="00000000" w:rsidRPr="00374CEC" w:rsidP="00374CEC">
      <w:pPr>
        <w:pStyle w:val="AllowPageBreak"/>
      </w:pPr>
    </w:p>
    <w:p w:rsidR="00000000" w:rsidRPr="00374CEC" w:rsidP="00374CEC">
      <w:pPr>
        <w:pStyle w:val="Heading1"/>
      </w:pPr>
      <w:bookmarkStart w:id="3" w:name="O_952193"/>
      <w:bookmarkEnd w:id="3"/>
      <w:r w:rsidRPr="00374CEC">
        <w:t>Pre-requisite U</w:t>
      </w:r>
      <w:r w:rsidRPr="00374CEC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Interpret technical drawing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Work safely and effectively in manufacturing and engineering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Organise and communicate information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MEM26007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Select and use reinforcing appropriate for product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MEM26008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Select and use resin systems appropriate for product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MEM26009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Select and use cores and fillers appropriate for product</w:t>
            </w:r>
          </w:p>
        </w:tc>
      </w:tr>
    </w:tbl>
    <w:p w:rsidR="00000000" w:rsidRPr="00374CEC" w:rsidP="00374CEC">
      <w:pPr>
        <w:pStyle w:val="BodyText"/>
      </w:pPr>
    </w:p>
    <w:p w:rsidR="00000000" w:rsidRPr="00374CEC" w:rsidP="00374CEC">
      <w:pPr>
        <w:pStyle w:val="AllowPageBreak"/>
      </w:pPr>
    </w:p>
    <w:p w:rsidR="00000000" w:rsidRPr="00374CEC" w:rsidP="00374CEC">
      <w:pPr>
        <w:pStyle w:val="Heading1"/>
      </w:pPr>
      <w:bookmarkStart w:id="4" w:name="O_952192"/>
      <w:bookmarkEnd w:id="4"/>
      <w:r w:rsidRPr="00374CEC">
        <w:t>Competency Field</w:t>
      </w:r>
    </w:p>
    <w:p w:rsidR="00000000" w:rsidRPr="00374CEC" w:rsidP="0074686D">
      <w:pPr>
        <w:pStyle w:val="BodyText"/>
      </w:pPr>
      <w:r w:rsidRPr="00374CEC">
        <w:t>Composites</w:t>
      </w:r>
    </w:p>
    <w:p w:rsidR="00000000" w:rsidRPr="00374CEC" w:rsidP="00374CEC">
      <w:pPr>
        <w:pStyle w:val="Heading1"/>
      </w:pPr>
      <w:bookmarkStart w:id="5" w:name="O_952190"/>
      <w:bookmarkEnd w:id="5"/>
      <w:r w:rsidRPr="00374C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Elements describe the essential outcom</w:t>
            </w:r>
            <w:r w:rsidRPr="00374CEC">
              <w:t>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Performance criteria describe the performance needed to demonstrate achievement of the element.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Determine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Follow standard operating procedures (SOPs)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Comply with work health and safety (WHS) requirements at all times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Select and use appropriate personal protective equipment (PPE) in accordance with SOPs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 xml:space="preserve">Determine requirements of resin </w:t>
            </w:r>
            <w:r w:rsidRPr="00374CEC">
              <w:t>systems from specifications, drawings, job sheets or work instructions and customer requests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Determine requirements of reinforcing and cores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Select appropriate process to be used to fabricate product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Identify suitable resin/reinforcement/ core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Examine previous laminate schedules for similar requirements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Short list suitable resin systems, reinforcing/reinforcing combinations and cores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Evaluate properties of different resin/ reinforcement/ core combinations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Determine interactions between resin systems and reinforcing and cores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Select most appropriate combination of resin systems, reinforcing and cores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Develop a laminate schedule to meet all requirements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Fabricate a sample of the most appropriate combination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Conduct/organise for relevant tests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Evaluate test results against product and sustainability requirements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Review selection and fabrication process and make any required changes to appropriate combination or process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Use selected combination for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Identify and control hazards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Prepare selected reinforcing, including cutting</w:t>
            </w:r>
            <w:r w:rsidRPr="00374CEC">
              <w:t xml:space="preserve"> to size/shape and any pre-treatment, as required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Lay reinforcing in correct direction, including fibre orientation and fibre pre-forming, as appropriate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Prepare selected core, including cutting to size/shape, and any pre-treatment, as required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Lay core is correct direction, including directional properties, as appropriate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 xml:space="preserve">Make any appropriate adjustments to the resin system recipe 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Mix selected resin system, as required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Fabricate product using selected process and minimise waste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Review product compared to requirements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Review material selection and fabrication process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Identify areas for improvement and ta</w:t>
            </w:r>
            <w:r w:rsidRPr="00374CEC">
              <w:t>ke appropriate actions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4.12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BodyText"/>
            </w:pPr>
            <w:r w:rsidRPr="00374CEC">
              <w:t>Complete any required documentation/reporting according to SOPs</w:t>
            </w:r>
          </w:p>
        </w:tc>
      </w:tr>
    </w:tbl>
    <w:p w:rsidR="00000000" w:rsidRPr="00374CEC" w:rsidP="00374CEC">
      <w:pPr>
        <w:pStyle w:val="BodyText"/>
      </w:pPr>
    </w:p>
    <w:p w:rsidR="00000000" w:rsidRPr="00374CEC" w:rsidP="00374CEC">
      <w:pPr>
        <w:pStyle w:val="AllowPageBreak"/>
      </w:pPr>
    </w:p>
    <w:p w:rsidR="00000000" w:rsidRPr="00374CEC" w:rsidP="00374CEC">
      <w:pPr>
        <w:pStyle w:val="Heading1"/>
      </w:pPr>
      <w:bookmarkStart w:id="6" w:name="O_952189"/>
      <w:bookmarkEnd w:id="6"/>
      <w:r w:rsidRPr="00374CEC">
        <w:t>Foundation Skills</w:t>
      </w:r>
    </w:p>
    <w:p w:rsidR="00000000" w:rsidRPr="00374CEC" w:rsidP="0074686D">
      <w:pPr>
        <w:pStyle w:val="BodyText"/>
      </w:pPr>
      <w:r w:rsidRPr="00374CE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74CEC" w:rsidP="0074686D">
      <w:pPr>
        <w:pStyle w:val="BodyText"/>
      </w:pPr>
      <w:r w:rsidRPr="00374CEC">
        <w:t xml:space="preserve">Foundation skills essential to performance are explicit in the performance criteria </w:t>
      </w:r>
      <w:r w:rsidRPr="00374CEC">
        <w:t>of this unit of competency.</w:t>
      </w:r>
    </w:p>
    <w:p w:rsidR="00000000" w:rsidRPr="00374CEC" w:rsidP="00374CEC">
      <w:pPr>
        <w:pStyle w:val="Heading1"/>
      </w:pPr>
      <w:bookmarkStart w:id="7" w:name="O_952188"/>
      <w:bookmarkEnd w:id="7"/>
      <w:r w:rsidRPr="00374CE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6308"/>
      </w:tblGrid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This field allows for different work environments and conditions that may affect performance. Essential operating conditions that may be present (depending on the work situation, needs of the</w:t>
            </w:r>
            <w:r w:rsidRPr="00374CEC">
              <w:t xml:space="preserve"> candidate, accessibility of the item, and local industry and regional contexts) are included.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Most appropriate combination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>compliance with product requirements</w:t>
            </w:r>
          </w:p>
          <w:p w:rsidR="00000000" w:rsidRPr="00374CEC" w:rsidP="00374CEC">
            <w:pPr>
              <w:pStyle w:val="ListBullet"/>
            </w:pPr>
            <w:r w:rsidRPr="00374CEC">
              <w:t>greatest ease of manufacture</w:t>
            </w:r>
          </w:p>
          <w:p w:rsidR="00000000" w:rsidRPr="00374CEC" w:rsidP="00374CEC">
            <w:pPr>
              <w:pStyle w:val="ListBullet"/>
            </w:pPr>
            <w:r w:rsidRPr="00374CEC">
              <w:t>best financial return</w:t>
            </w:r>
          </w:p>
          <w:p w:rsidR="00000000" w:rsidP="00374CEC">
            <w:pPr>
              <w:pStyle w:val="ListBullet"/>
              <w:rPr>
                <w:lang w:val="en-NZ"/>
              </w:rPr>
            </w:pPr>
            <w:r w:rsidRPr="00374CEC">
              <w:t>greatest sustainability contribution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Requirements of core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>stiffness/flexibility</w:t>
            </w:r>
          </w:p>
          <w:p w:rsidR="00000000" w:rsidRPr="00374CEC" w:rsidP="00374CEC">
            <w:pPr>
              <w:pStyle w:val="ListBullet"/>
            </w:pPr>
            <w:r w:rsidRPr="00374CEC">
              <w:t>directionality</w:t>
            </w:r>
          </w:p>
          <w:p w:rsidR="00000000" w:rsidRPr="00374CEC" w:rsidP="00374CEC">
            <w:pPr>
              <w:pStyle w:val="ListBullet"/>
            </w:pPr>
            <w:r w:rsidRPr="00374CEC">
              <w:t>density</w:t>
            </w:r>
          </w:p>
          <w:p w:rsidR="00000000" w:rsidRPr="00374CEC" w:rsidP="00374CEC">
            <w:pPr>
              <w:pStyle w:val="ListBullet"/>
            </w:pPr>
            <w:r w:rsidRPr="00374CEC">
              <w:t>operating temperature</w:t>
            </w:r>
          </w:p>
          <w:p w:rsidR="00000000" w:rsidRPr="00374CEC" w:rsidP="00374CEC">
            <w:pPr>
              <w:pStyle w:val="ListBullet"/>
            </w:pPr>
            <w:r w:rsidRPr="00374CEC">
              <w:t>provision of thickness</w:t>
            </w:r>
          </w:p>
          <w:p w:rsidR="00000000" w:rsidRPr="00374CEC" w:rsidP="00374CEC">
            <w:pPr>
              <w:pStyle w:val="ListBullet"/>
            </w:pPr>
            <w:r w:rsidRPr="00374CEC">
              <w:t>provision of some rigidity</w:t>
            </w:r>
          </w:p>
          <w:p w:rsidR="00000000" w:rsidRPr="00374CEC" w:rsidP="00374CEC">
            <w:pPr>
              <w:pStyle w:val="ListBullet"/>
            </w:pPr>
            <w:r w:rsidRPr="00374CEC">
              <w:t>thermal and acoustic insulation where appropriate</w:t>
            </w:r>
          </w:p>
          <w:p w:rsidR="00000000" w:rsidP="00374CEC">
            <w:pPr>
              <w:pStyle w:val="ListBullet"/>
              <w:rPr>
                <w:lang w:val="en-NZ"/>
              </w:rPr>
            </w:pPr>
            <w:r w:rsidRPr="00374CEC">
              <w:t>but not the significant structural strength provided by reinforcing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Requirements of resin system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>strength</w:t>
            </w:r>
          </w:p>
          <w:p w:rsidR="00000000" w:rsidRPr="00374CEC" w:rsidP="00374CEC">
            <w:pPr>
              <w:pStyle w:val="ListBullet"/>
            </w:pPr>
            <w:r w:rsidRPr="00374CEC">
              <w:t>flexibility/rigidity</w:t>
            </w:r>
          </w:p>
          <w:p w:rsidR="00000000" w:rsidRPr="00374CEC" w:rsidP="00374CEC">
            <w:pPr>
              <w:pStyle w:val="ListBullet"/>
            </w:pPr>
            <w:r w:rsidRPr="00374CEC">
              <w:t>surface finish and colour</w:t>
            </w:r>
          </w:p>
          <w:p w:rsidR="00000000" w:rsidRPr="00374CEC" w:rsidP="00374CEC">
            <w:pPr>
              <w:pStyle w:val="ListBullet"/>
            </w:pPr>
            <w:r w:rsidRPr="00374CEC">
              <w:t>chemical/ultraviolet (UV)/environmental resistance</w:t>
            </w:r>
          </w:p>
          <w:p w:rsidR="00000000" w:rsidRPr="00374CEC" w:rsidP="00374CEC">
            <w:pPr>
              <w:pStyle w:val="ListBullet"/>
            </w:pPr>
            <w:r w:rsidRPr="00374CEC">
              <w:t>operating temperature</w:t>
            </w:r>
          </w:p>
          <w:p w:rsidR="00000000" w:rsidP="00374CEC">
            <w:pPr>
              <w:pStyle w:val="ListBullet"/>
              <w:rPr>
                <w:lang w:val="en-NZ"/>
              </w:rPr>
            </w:pPr>
            <w:r w:rsidRPr="00374CEC">
              <w:t>recyc</w:t>
            </w:r>
            <w:r w:rsidRPr="00374CEC">
              <w:t>lability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6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Resin system adjustments include one (1) or more of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>temperature</w:t>
            </w:r>
          </w:p>
          <w:p w:rsidR="00000000" w:rsidRPr="00374CEC" w:rsidP="00374CEC">
            <w:pPr>
              <w:pStyle w:val="ListBullet"/>
            </w:pPr>
            <w:r w:rsidRPr="00374CEC">
              <w:t>humidity</w:t>
            </w:r>
          </w:p>
          <w:p w:rsidR="00000000" w:rsidRPr="00374CEC" w:rsidP="00374CEC">
            <w:pPr>
              <w:pStyle w:val="ListBullet"/>
            </w:pPr>
            <w:r w:rsidRPr="00374CEC">
              <w:t>required cure time</w:t>
            </w:r>
          </w:p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t>Adjustments may only be made within the allowable limits of the system being used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4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>cost/benefit of different combinations</w:t>
            </w:r>
          </w:p>
          <w:p w:rsidR="00000000" w:rsidRPr="00374CEC" w:rsidP="00374CEC">
            <w:pPr>
              <w:pStyle w:val="ListBullet"/>
            </w:pPr>
            <w:r w:rsidRPr="00374CEC">
              <w:t>selecting a combination suited to the fabrication process</w:t>
            </w:r>
          </w:p>
          <w:p w:rsidR="00000000" w:rsidP="00374CEC">
            <w:pPr>
              <w:pStyle w:val="ListBullet"/>
              <w:rPr>
                <w:lang w:val="en-NZ"/>
              </w:rPr>
            </w:pPr>
            <w:r w:rsidRPr="00374CEC">
              <w:t>maximising sustainability</w:t>
            </w:r>
          </w:p>
        </w:tc>
      </w:tr>
      <w:tr w:rsidTr="00374C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4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EC">
            <w:pPr>
              <w:pStyle w:val="BodyText"/>
              <w:rPr>
                <w:lang w:val="en-NZ"/>
              </w:rPr>
            </w:pPr>
            <w:r w:rsidRPr="00374CEC">
              <w:rPr>
                <w:rStyle w:val="SpecialBold"/>
              </w:rPr>
              <w:t>Sustainability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EC" w:rsidP="00374CEC">
            <w:pPr>
              <w:pStyle w:val="ListBullet"/>
            </w:pPr>
            <w:r w:rsidRPr="00374CEC">
              <w:t xml:space="preserve">survival of the ecology/physical environment </w:t>
            </w:r>
          </w:p>
          <w:p w:rsidR="00000000" w:rsidRPr="00374CEC" w:rsidP="00374CEC">
            <w:pPr>
              <w:pStyle w:val="ListBullet"/>
            </w:pPr>
            <w:r w:rsidRPr="00374CEC">
              <w:t xml:space="preserve">economic viability </w:t>
            </w:r>
          </w:p>
          <w:p w:rsidR="00000000" w:rsidRPr="00374CEC" w:rsidP="00374CEC">
            <w:pPr>
              <w:pStyle w:val="ListBullet"/>
            </w:pPr>
            <w:r w:rsidRPr="00374CEC">
              <w:t xml:space="preserve">social sustainability </w:t>
            </w:r>
          </w:p>
        </w:tc>
      </w:tr>
    </w:tbl>
    <w:p w:rsidR="00000000" w:rsidRPr="00374CEC" w:rsidP="00374CEC">
      <w:pPr>
        <w:pStyle w:val="BodyText"/>
      </w:pPr>
    </w:p>
    <w:p w:rsidR="00000000" w:rsidRPr="00374CEC" w:rsidP="00374CEC">
      <w:pPr>
        <w:pStyle w:val="AllowPageBreak"/>
      </w:pPr>
    </w:p>
    <w:p w:rsidR="00000000" w:rsidRPr="00374CEC" w:rsidP="00374CEC">
      <w:pPr>
        <w:pStyle w:val="Heading1"/>
      </w:pPr>
      <w:bookmarkStart w:id="8" w:name="O_952187"/>
      <w:bookmarkEnd w:id="8"/>
      <w:r w:rsidRPr="00374CEC">
        <w:t>Unit Mapping Information</w:t>
      </w:r>
    </w:p>
    <w:p w:rsidR="00000000" w:rsidRPr="00374CEC" w:rsidP="0074686D">
      <w:pPr>
        <w:pStyle w:val="BodyText"/>
      </w:pPr>
      <w:r w:rsidRPr="00374CEC">
        <w:t>Release 1. Supersedes and is equivalent to MEM26011A Determine materials and techniques for a composite component or produc</w:t>
      </w:r>
      <w:r w:rsidRPr="00374CEC">
        <w:t xml:space="preserve">t </w:t>
      </w:r>
    </w:p>
    <w:p w:rsidR="00000000" w:rsidRPr="00374CEC" w:rsidP="00374CEC">
      <w:pPr>
        <w:pStyle w:val="Heading1"/>
      </w:pPr>
      <w:bookmarkStart w:id="9" w:name="O_952180"/>
      <w:bookmarkEnd w:id="9"/>
      <w:r w:rsidRPr="00374CEC">
        <w:t>Links</w:t>
      </w:r>
    </w:p>
    <w:p w:rsidR="00000000" w:rsidRPr="00374CEC" w:rsidP="0074686D">
      <w:pPr>
        <w:pStyle w:val="BodyText"/>
      </w:pPr>
      <w:r w:rsidRPr="00374C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B02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4CEC" w:rsidP="00374CEC"/>
    <w:sectPr w:rsidSect="00374C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C" w:rsidRPr="0074686D" w:rsidP="00746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6D" w:rsidP="00374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86D" w:rsidP="00374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686D" w:rsidP="00374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CEC" w:rsidRPr="0074686D" w:rsidP="00746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6D" w:rsidRPr="002D2AF8" w:rsidP="00374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MEM26011 Determine materials and techniques for a composite component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686D" w:rsidP="00374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7A1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6E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CEC"/>
  </w:style>
  <w:style w:type="character" w:customStyle="1" w:styleId="Heading1Char">
    <w:name w:val="Heading 1 Char"/>
    <w:basedOn w:val="DefaultParagraphFont"/>
    <w:link w:val="Heading1"/>
    <w:rsid w:val="00374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C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C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C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CEC"/>
    <w:rPr>
      <w:b/>
      <w:spacing w:val="0"/>
    </w:rPr>
  </w:style>
  <w:style w:type="paragraph" w:customStyle="1" w:styleId="SuperHeading">
    <w:name w:val="SuperHeading"/>
    <w:basedOn w:val="Normal"/>
    <w:rsid w:val="00374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C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C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C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C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CEC"/>
    <w:rPr>
      <w:i/>
    </w:rPr>
  </w:style>
  <w:style w:type="paragraph" w:styleId="Caption">
    <w:name w:val="caption"/>
    <w:basedOn w:val="BodyText"/>
    <w:next w:val="Normal"/>
    <w:qFormat/>
    <w:rsid w:val="00374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CEC"/>
  </w:style>
  <w:style w:type="paragraph" w:styleId="TableofFigures">
    <w:name w:val="table of figures"/>
    <w:basedOn w:val="Normal"/>
    <w:next w:val="Normal"/>
    <w:semiHidden/>
    <w:rsid w:val="00374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C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CEC"/>
    <w:rPr>
      <w:rFonts w:ascii="Wingdings" w:hAnsi="Wingdings"/>
    </w:rPr>
  </w:style>
  <w:style w:type="paragraph" w:customStyle="1" w:styleId="TableHeading">
    <w:name w:val="Table Heading"/>
    <w:basedOn w:val="HeadingBase"/>
    <w:rsid w:val="00374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CEC"/>
    <w:rPr>
      <w:color w:val="0033CC"/>
      <w:u w:val="none"/>
    </w:rPr>
  </w:style>
  <w:style w:type="paragraph" w:customStyle="1" w:styleId="BodyTextRight">
    <w:name w:val="Body Text Right"/>
    <w:basedOn w:val="BodyText"/>
    <w:rsid w:val="00374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C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CEC"/>
    <w:rPr>
      <w:sz w:val="32"/>
    </w:rPr>
  </w:style>
  <w:style w:type="paragraph" w:customStyle="1" w:styleId="HeadingProcedure">
    <w:name w:val="Heading Procedure"/>
    <w:basedOn w:val="HeadingBase"/>
    <w:next w:val="Normal"/>
    <w:rsid w:val="00374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CEC"/>
    <w:pPr>
      <w:spacing w:before="60" w:after="60"/>
    </w:pPr>
  </w:style>
  <w:style w:type="paragraph" w:styleId="ListContinue">
    <w:name w:val="List Continue"/>
    <w:basedOn w:val="List"/>
    <w:rsid w:val="00374CEC"/>
    <w:pPr>
      <w:ind w:firstLine="0"/>
    </w:pPr>
  </w:style>
  <w:style w:type="paragraph" w:customStyle="1" w:styleId="ListNote">
    <w:name w:val="List Note"/>
    <w:basedOn w:val="List"/>
    <w:rsid w:val="00374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CEC"/>
    <w:rPr>
      <w:rFonts w:ascii="Courier New" w:hAnsi="Courier New"/>
    </w:rPr>
  </w:style>
  <w:style w:type="paragraph" w:customStyle="1" w:styleId="NoteBullet">
    <w:name w:val="Note Bullet"/>
    <w:basedOn w:val="Note"/>
    <w:rsid w:val="00374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C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CEC"/>
    <w:rPr>
      <w:b/>
      <w:smallCaps/>
    </w:rPr>
  </w:style>
  <w:style w:type="paragraph" w:customStyle="1" w:styleId="TableListNumber">
    <w:name w:val="Table List Number"/>
    <w:basedOn w:val="ListNumber"/>
    <w:rsid w:val="00374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CEC"/>
    <w:pPr>
      <w:numPr>
        <w:numId w:val="8"/>
      </w:numPr>
    </w:pPr>
  </w:style>
  <w:style w:type="paragraph" w:customStyle="1" w:styleId="ListAlpha2">
    <w:name w:val="List Alpha 2"/>
    <w:basedOn w:val="List2"/>
    <w:rsid w:val="00374CEC"/>
    <w:pPr>
      <w:numPr>
        <w:numId w:val="7"/>
      </w:numPr>
    </w:pPr>
  </w:style>
  <w:style w:type="paragraph" w:styleId="List2">
    <w:name w:val="List 2"/>
    <w:basedOn w:val="BodyText"/>
    <w:rsid w:val="00374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C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C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CEC"/>
    <w:pPr>
      <w:numPr>
        <w:numId w:val="3"/>
      </w:numPr>
    </w:pPr>
  </w:style>
  <w:style w:type="paragraph" w:styleId="ListContinue2">
    <w:name w:val="List Continue 2"/>
    <w:basedOn w:val="List2"/>
    <w:rsid w:val="00374CEC"/>
    <w:pPr>
      <w:ind w:firstLine="0"/>
    </w:pPr>
  </w:style>
  <w:style w:type="paragraph" w:styleId="ListContinue3">
    <w:name w:val="List Continue 3"/>
    <w:basedOn w:val="List3"/>
    <w:rsid w:val="00374CEC"/>
    <w:pPr>
      <w:ind w:left="1021" w:firstLine="0"/>
    </w:pPr>
  </w:style>
  <w:style w:type="paragraph" w:styleId="ListContinue4">
    <w:name w:val="List Continue 4"/>
    <w:basedOn w:val="List4"/>
    <w:rsid w:val="00374CEC"/>
    <w:pPr>
      <w:ind w:firstLine="0"/>
    </w:pPr>
  </w:style>
  <w:style w:type="paragraph" w:styleId="ListContinue5">
    <w:name w:val="List Continue 5"/>
    <w:basedOn w:val="List5"/>
    <w:rsid w:val="00374CEC"/>
    <w:pPr>
      <w:ind w:firstLine="0"/>
    </w:pPr>
  </w:style>
  <w:style w:type="paragraph" w:styleId="ListNumber3">
    <w:name w:val="List Number 3"/>
    <w:basedOn w:val="List3"/>
    <w:rsid w:val="00374CEC"/>
    <w:pPr>
      <w:numPr>
        <w:numId w:val="4"/>
      </w:numPr>
    </w:pPr>
  </w:style>
  <w:style w:type="paragraph" w:styleId="ListNumber4">
    <w:name w:val="List Number 4"/>
    <w:basedOn w:val="List4"/>
    <w:rsid w:val="00374CEC"/>
    <w:pPr>
      <w:numPr>
        <w:numId w:val="5"/>
      </w:numPr>
    </w:pPr>
  </w:style>
  <w:style w:type="paragraph" w:styleId="ListNumber5">
    <w:name w:val="List Number 5"/>
    <w:basedOn w:val="List5"/>
    <w:rsid w:val="00374CEC"/>
    <w:pPr>
      <w:numPr>
        <w:numId w:val="6"/>
      </w:numPr>
    </w:pPr>
  </w:style>
  <w:style w:type="paragraph" w:styleId="BlockText">
    <w:name w:val="Block Text"/>
    <w:basedOn w:val="Normal"/>
    <w:rsid w:val="00374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CEC"/>
    <w:rPr>
      <w:sz w:val="16"/>
      <w:vertAlign w:val="superscript"/>
    </w:rPr>
  </w:style>
  <w:style w:type="character" w:customStyle="1" w:styleId="Symbols">
    <w:name w:val="Symbols"/>
    <w:basedOn w:val="DefaultParagraphFont"/>
    <w:rsid w:val="00374CEC"/>
    <w:rPr>
      <w:rFonts w:ascii="Symbol" w:hAnsi="Symbol"/>
    </w:rPr>
  </w:style>
  <w:style w:type="character" w:customStyle="1" w:styleId="MenuOptions">
    <w:name w:val="Menu Options"/>
    <w:basedOn w:val="DefaultParagraphFont"/>
    <w:rsid w:val="00374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CEC"/>
    <w:rPr>
      <w:b/>
    </w:rPr>
  </w:style>
  <w:style w:type="character" w:customStyle="1" w:styleId="Underlined">
    <w:name w:val="Underlined"/>
    <w:basedOn w:val="DefaultParagraphFont"/>
    <w:rsid w:val="00374CEC"/>
    <w:rPr>
      <w:u w:val="single"/>
    </w:rPr>
  </w:style>
  <w:style w:type="paragraph" w:customStyle="1" w:styleId="TableBodyTextRight">
    <w:name w:val="Table Body Text Right"/>
    <w:basedOn w:val="TableBodyText"/>
    <w:rsid w:val="00374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CEC"/>
    <w:rPr>
      <w:sz w:val="18"/>
    </w:rPr>
  </w:style>
  <w:style w:type="paragraph" w:customStyle="1" w:styleId="BodySmallRight">
    <w:name w:val="Body Small Right"/>
    <w:basedOn w:val="BodyTextRight"/>
    <w:rsid w:val="00374CEC"/>
    <w:rPr>
      <w:sz w:val="18"/>
      <w:szCs w:val="18"/>
    </w:rPr>
  </w:style>
  <w:style w:type="paragraph" w:customStyle="1" w:styleId="MarginEdition">
    <w:name w:val="Margin Edition"/>
    <w:basedOn w:val="MarginNote"/>
    <w:rsid w:val="00374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CEC"/>
    <w:rPr>
      <w:sz w:val="2"/>
      <w:szCs w:val="2"/>
    </w:rPr>
  </w:style>
  <w:style w:type="character" w:customStyle="1" w:styleId="Small">
    <w:name w:val="Small"/>
    <w:basedOn w:val="DefaultParagraphFont"/>
    <w:rsid w:val="00374CEC"/>
    <w:rPr>
      <w:sz w:val="16"/>
    </w:rPr>
  </w:style>
  <w:style w:type="paragraph" w:customStyle="1" w:styleId="WideTable">
    <w:name w:val="Wide Table"/>
    <w:basedOn w:val="Normal"/>
    <w:rsid w:val="00374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CEC"/>
  </w:style>
  <w:style w:type="paragraph" w:styleId="Quote">
    <w:name w:val="Quote"/>
    <w:basedOn w:val="Heading1"/>
    <w:link w:val="QuoteChar"/>
    <w:qFormat/>
    <w:rsid w:val="00374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CEC"/>
    <w:pPr>
      <w:pageBreakBefore/>
    </w:pPr>
  </w:style>
  <w:style w:type="paragraph" w:customStyle="1" w:styleId="Border">
    <w:name w:val="Border"/>
    <w:basedOn w:val="Normal"/>
    <w:qFormat/>
    <w:rsid w:val="00374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CEC"/>
    <w:rPr>
      <w:u w:val="single"/>
    </w:rPr>
  </w:style>
  <w:style w:type="character" w:customStyle="1" w:styleId="BoldandItalics">
    <w:name w:val="Bold and Italics"/>
    <w:qFormat/>
    <w:rsid w:val="00374CEC"/>
    <w:rPr>
      <w:b/>
      <w:i/>
      <w:u w:val="none"/>
    </w:rPr>
  </w:style>
  <w:style w:type="paragraph" w:styleId="BalloonText">
    <w:name w:val="Balloon Text"/>
    <w:basedOn w:val="Normal"/>
    <w:link w:val="BalloonTextChar"/>
    <w:rsid w:val="00374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C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C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CEC"/>
    <w:pPr>
      <w:spacing w:before="0" w:after="0"/>
    </w:pPr>
  </w:style>
  <w:style w:type="paragraph" w:customStyle="1" w:styleId="BodyTextBold">
    <w:name w:val="Body Text Bold"/>
    <w:basedOn w:val="BodyText"/>
    <w:qFormat/>
    <w:rsid w:val="00374CEC"/>
    <w:rPr>
      <w:b/>
    </w:rPr>
  </w:style>
  <w:style w:type="character" w:styleId="Hyperlink">
    <w:name w:val="Hyperlink"/>
    <w:basedOn w:val="DefaultParagraphFont"/>
    <w:uiPriority w:val="99"/>
    <w:unhideWhenUsed/>
    <w:rsid w:val="00746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5270</Characters>
  <Application>Microsoft Office Word</Application>
  <DocSecurity>0</DocSecurity>
  <Lines>277</Lines>
  <Paragraphs>159</Paragraphs>
  <ScaleCrop>false</ScaleCrop>
  <Company>Author-it Software Corporation Ltd.</Company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MEM26011 Determine materials and techniques for a composite component 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