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2EC" w:rsidP="001A22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MEM26011 Determine materials and techniques for a composite component or product</w:t>
      </w:r>
      <w:r>
        <w:fldChar w:fldCharType="end"/>
      </w:r>
    </w:p>
    <w:p w:rsidR="001A22EC" w:rsidP="001A22EC">
      <w:pPr>
        <w:pStyle w:val="Version"/>
        <w:sectPr w:rsidSect="00EE47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47BD" w:rsidP="00EE47BD">
      <w:pPr>
        <w:pStyle w:val="SuperHeading"/>
      </w:pPr>
      <w:r w:rsidRPr="00EE47BD">
        <w:t>Assessment Requirements for MEM26011 Determine materials and techniques for a composite component or product</w:t>
      </w:r>
    </w:p>
    <w:p w:rsidR="00000000" w:rsidRPr="00EE47BD" w:rsidP="00EE47BD">
      <w:pPr>
        <w:pStyle w:val="Heading1"/>
      </w:pPr>
      <w:bookmarkStart w:id="1" w:name="O_952182"/>
      <w:bookmarkEnd w:id="1"/>
      <w:r w:rsidRPr="00EE47BD">
        <w:t>Modification History</w:t>
      </w:r>
    </w:p>
    <w:p w:rsidR="00000000" w:rsidRPr="00EE47BD" w:rsidP="001A22EC">
      <w:pPr>
        <w:pStyle w:val="BodyText"/>
      </w:pPr>
      <w:r w:rsidRPr="00EE47BD">
        <w:t>Release 1. Sup</w:t>
      </w:r>
      <w:r w:rsidRPr="00EE47BD">
        <w:t xml:space="preserve">ersedes and is equivalent to MEM26011A Determine materials and techniques for a composite component or product </w:t>
      </w:r>
    </w:p>
    <w:p w:rsidR="00000000" w:rsidRPr="00EE47BD" w:rsidP="00EE47BD">
      <w:pPr>
        <w:pStyle w:val="Heading1"/>
      </w:pPr>
      <w:bookmarkStart w:id="2" w:name="O_952185"/>
      <w:bookmarkEnd w:id="2"/>
      <w:r w:rsidRPr="00EE47BD">
        <w:t>Performance Evidence</w:t>
      </w:r>
    </w:p>
    <w:p w:rsidR="00000000" w:rsidRPr="00EE47BD" w:rsidP="001A22EC">
      <w:pPr>
        <w:pStyle w:val="BodyText"/>
      </w:pPr>
      <w:r w:rsidRPr="00EE47BD">
        <w:t xml:space="preserve">Evidence required to demonstrate competence in this unit must be relevant to and satisfy the requirements </w:t>
      </w:r>
      <w:r w:rsidRPr="00EE47BD">
        <w:t>of the elements and performance criteria on at least two (2) occasions and include:</w:t>
      </w:r>
    </w:p>
    <w:p w:rsidR="00000000" w:rsidRPr="00EE47BD" w:rsidP="00EE47BD">
      <w:pPr>
        <w:pStyle w:val="ListBullet"/>
      </w:pPr>
      <w:r w:rsidRPr="00EE47BD">
        <w:t xml:space="preserve">following work instructions, standard operating procedures (SOPs) and safe work practices </w:t>
      </w:r>
    </w:p>
    <w:p w:rsidR="00000000" w:rsidRPr="00EE47BD" w:rsidP="00EE47BD">
      <w:pPr>
        <w:pStyle w:val="ListBullet"/>
      </w:pPr>
      <w:r w:rsidRPr="00EE47BD">
        <w:t>identifying and interpreting specifications, formulas/recipes, batch sheets, pro</w:t>
      </w:r>
      <w:r w:rsidRPr="00EE47BD">
        <w:t>duct drawings and customer requests for determining materials and techniques for a composite component or product</w:t>
      </w:r>
    </w:p>
    <w:p w:rsidR="00000000" w:rsidRPr="00EE47BD" w:rsidP="00EE47BD">
      <w:pPr>
        <w:pStyle w:val="ListBullet"/>
      </w:pPr>
      <w:r w:rsidRPr="00EE47BD">
        <w:t xml:space="preserve">considering all reasonably available combinations of resin systems, reinforcing and cores </w:t>
      </w:r>
    </w:p>
    <w:p w:rsidR="00000000" w:rsidRPr="00EE47BD" w:rsidP="00EE47BD">
      <w:pPr>
        <w:pStyle w:val="ListBullet"/>
      </w:pPr>
      <w:r w:rsidRPr="00EE47BD">
        <w:t>fabricating a sample and conducting/organising rele</w:t>
      </w:r>
      <w:r w:rsidRPr="00EE47BD">
        <w:t xml:space="preserve">vant test and evaluating the test results and making any required changes, as appropriate </w:t>
      </w:r>
    </w:p>
    <w:p w:rsidR="00000000" w:rsidRPr="00EE47BD" w:rsidP="00EE47BD">
      <w:pPr>
        <w:pStyle w:val="ListBullet"/>
      </w:pPr>
      <w:r w:rsidRPr="00EE47BD">
        <w:t>fabricating the final product using selected process and minimising waste as per specifications</w:t>
      </w:r>
    </w:p>
    <w:p w:rsidR="00000000" w:rsidRPr="00EE47BD" w:rsidP="00EE47BD">
      <w:pPr>
        <w:pStyle w:val="ListBullet"/>
      </w:pPr>
      <w:r w:rsidRPr="00EE47BD">
        <w:t xml:space="preserve">identifying areas for improvement and taking appropriate action </w:t>
      </w:r>
    </w:p>
    <w:p w:rsidR="00000000" w:rsidRPr="00EE47BD" w:rsidP="00EE47BD">
      <w:pPr>
        <w:pStyle w:val="ListBullet"/>
      </w:pPr>
      <w:r w:rsidRPr="00EE47BD">
        <w:t>comp</w:t>
      </w:r>
      <w:r w:rsidRPr="00EE47BD">
        <w:t>leting all documentation and reports, including items requiring further action, in accordance with SOPs.</w:t>
      </w:r>
    </w:p>
    <w:p w:rsidR="00000000" w:rsidRPr="00EE47BD" w:rsidP="00EE47BD">
      <w:pPr>
        <w:pStyle w:val="AllowPageBreak"/>
      </w:pPr>
    </w:p>
    <w:p w:rsidR="00000000" w:rsidRPr="00EE47BD" w:rsidP="00EE47BD">
      <w:pPr>
        <w:pStyle w:val="Heading1"/>
      </w:pPr>
      <w:bookmarkStart w:id="3" w:name="O_952184"/>
      <w:bookmarkEnd w:id="3"/>
      <w:r w:rsidRPr="00EE47BD">
        <w:t>Knowledge Evidence</w:t>
      </w:r>
    </w:p>
    <w:p w:rsidR="00000000" w:rsidRPr="00EE47BD" w:rsidP="001A22EC">
      <w:pPr>
        <w:pStyle w:val="BodyText"/>
      </w:pPr>
      <w:r w:rsidRPr="00EE47BD">
        <w:t>Evidence required to demonstrate the required knowledge for this unit must be relevant to and satisfy the requireme</w:t>
      </w:r>
      <w:r w:rsidRPr="00EE47BD">
        <w:t>nts of the elements and performance criteria and include knowledge of:</w:t>
      </w:r>
    </w:p>
    <w:p w:rsidR="00000000" w:rsidRPr="00EE47BD" w:rsidP="00EE47BD">
      <w:pPr>
        <w:pStyle w:val="ListBullet"/>
      </w:pPr>
      <w:r w:rsidRPr="00EE47BD">
        <w:t>safe work practices and procedures and use of personal protective equipment (PPE)</w:t>
      </w:r>
    </w:p>
    <w:p w:rsidR="00000000" w:rsidRPr="00EE47BD" w:rsidP="00EE47BD">
      <w:pPr>
        <w:pStyle w:val="ListBullet"/>
      </w:pPr>
      <w:r w:rsidRPr="00EE47BD">
        <w:t>current state/territory work health and safety (WHS) legislation, standards and codes of practice rele</w:t>
      </w:r>
      <w:r w:rsidRPr="00EE47BD">
        <w:t>vant to using materials and techniques for a composite component or product</w:t>
      </w:r>
    </w:p>
    <w:p w:rsidR="00000000" w:rsidRPr="00EE47BD" w:rsidP="00EE47BD">
      <w:pPr>
        <w:pStyle w:val="ListBullet"/>
      </w:pPr>
      <w:r w:rsidRPr="00EE47BD">
        <w:t>cost against known processes, including labour and machine output</w:t>
      </w:r>
    </w:p>
    <w:p w:rsidR="00000000" w:rsidRPr="00EE47BD" w:rsidP="00EE47BD">
      <w:pPr>
        <w:pStyle w:val="ListBullet"/>
      </w:pPr>
      <w:r w:rsidRPr="00EE47BD">
        <w:t>principles of adhesion and substrate/resin interactions</w:t>
      </w:r>
    </w:p>
    <w:p w:rsidR="00000000" w:rsidRPr="00EE47BD" w:rsidP="00EE47BD">
      <w:pPr>
        <w:pStyle w:val="ListBullet"/>
      </w:pPr>
      <w:r w:rsidRPr="00EE47BD">
        <w:t>bonding within and between composites, including:</w:t>
      </w:r>
    </w:p>
    <w:p w:rsidR="00000000" w:rsidRPr="00EE47BD" w:rsidP="00EE47BD">
      <w:pPr>
        <w:pStyle w:val="ListBullet2"/>
      </w:pPr>
      <w:r w:rsidRPr="00EE47BD">
        <w:t>inter-l</w:t>
      </w:r>
      <w:r w:rsidRPr="00EE47BD">
        <w:t>aminar delamination</w:t>
      </w:r>
    </w:p>
    <w:p w:rsidR="00000000" w:rsidRPr="00EE47BD" w:rsidP="00EE47BD">
      <w:pPr>
        <w:pStyle w:val="ListBullet2"/>
      </w:pPr>
      <w:r w:rsidRPr="00EE47BD">
        <w:t>secondary bonding delamination</w:t>
      </w:r>
    </w:p>
    <w:p w:rsidR="00000000" w:rsidRPr="00EE47BD" w:rsidP="00EE47BD">
      <w:pPr>
        <w:pStyle w:val="ListBullet"/>
      </w:pPr>
      <w:r w:rsidRPr="00EE47BD">
        <w:t>resin/reinforcement compatibility</w:t>
      </w:r>
    </w:p>
    <w:p w:rsidR="00000000" w:rsidRPr="00EE47BD" w:rsidP="00EE47BD">
      <w:pPr>
        <w:pStyle w:val="ListBullet"/>
      </w:pPr>
      <w:r w:rsidRPr="00EE47BD">
        <w:t>resin penetration</w:t>
      </w:r>
    </w:p>
    <w:p w:rsidR="00000000" w:rsidRPr="00EE47BD" w:rsidP="00EE47BD">
      <w:pPr>
        <w:pStyle w:val="ListBullet"/>
      </w:pPr>
      <w:r w:rsidRPr="00EE47BD">
        <w:t xml:space="preserve">permeability of reinforcement </w:t>
      </w:r>
    </w:p>
    <w:p w:rsidR="00000000" w:rsidRPr="00EE47BD" w:rsidP="00EE47BD">
      <w:pPr>
        <w:pStyle w:val="ListBullet"/>
      </w:pPr>
      <w:r w:rsidRPr="00EE47BD">
        <w:t>sustainability considerations</w:t>
      </w:r>
    </w:p>
    <w:p w:rsidR="00000000" w:rsidRPr="00EE47BD" w:rsidP="00EE47BD">
      <w:pPr>
        <w:pStyle w:val="ListBullet"/>
      </w:pPr>
      <w:r w:rsidRPr="00EE47BD">
        <w:t>Darcy’s Law and its application to the flow of resins through porous media (e.g</w:t>
      </w:r>
      <w:r w:rsidRPr="00EE47BD">
        <w:t>. reinforcing and cores).</w:t>
      </w:r>
    </w:p>
    <w:p w:rsidR="00000000" w:rsidRPr="00EE47BD" w:rsidP="00EE47BD">
      <w:pPr>
        <w:pStyle w:val="AllowPageBreak"/>
      </w:pPr>
    </w:p>
    <w:p w:rsidR="00000000" w:rsidRPr="00EE47BD" w:rsidP="00EE47BD">
      <w:pPr>
        <w:pStyle w:val="Heading1"/>
      </w:pPr>
      <w:bookmarkStart w:id="4" w:name="O_952183"/>
      <w:bookmarkEnd w:id="4"/>
      <w:r w:rsidRPr="00EE47BD">
        <w:t>Assessment Conditions</w:t>
      </w:r>
    </w:p>
    <w:p w:rsidR="00000000" w:rsidRPr="00EE47BD" w:rsidP="00EE47BD">
      <w:pPr>
        <w:pStyle w:val="ListBullet"/>
      </w:pPr>
      <w:r w:rsidRPr="00EE47BD">
        <w:t>Assessors must:</w:t>
      </w:r>
    </w:p>
    <w:p w:rsidR="00000000" w:rsidRPr="00EE47BD" w:rsidP="00EE47BD">
      <w:pPr>
        <w:pStyle w:val="ListBullet2"/>
      </w:pPr>
      <w:r w:rsidRPr="00EE47BD">
        <w:t>have vocational competency in determining materials and techniques for a composite component or product at least to the level being assessed with relevant industry knowledge</w:t>
      </w:r>
      <w:r w:rsidRPr="00EE47BD">
        <w:t xml:space="preserve"> and experience</w:t>
      </w:r>
    </w:p>
    <w:p w:rsidR="00000000" w:rsidRPr="00EE47BD" w:rsidP="00EE47BD">
      <w:pPr>
        <w:pStyle w:val="ListBullet2"/>
      </w:pPr>
      <w:r w:rsidRPr="00EE47BD">
        <w:t xml:space="preserve">satisfy the assessor requirements in the </w:t>
      </w:r>
      <w:r w:rsidRPr="00EE47BD">
        <w:rPr>
          <w:rStyle w:val="Emphasis"/>
        </w:rPr>
        <w:t xml:space="preserve">Standards for Registered Training Organisations 2015 </w:t>
      </w:r>
      <w:r w:rsidRPr="00EE47BD">
        <w:t>or its replacement</w:t>
      </w:r>
      <w:r w:rsidRPr="00EE47BD">
        <w:rPr>
          <w:rStyle w:val="Emphasis"/>
        </w:rPr>
        <w:t xml:space="preserve"> </w:t>
      </w:r>
      <w:r w:rsidRPr="00EE47BD">
        <w:t xml:space="preserve">and comply with the </w:t>
      </w:r>
      <w:r w:rsidRPr="00EE47BD">
        <w:rPr>
          <w:rStyle w:val="Emphasis"/>
        </w:rPr>
        <w:t xml:space="preserve">National Vocational Education and Training Regulator Act 2011, </w:t>
      </w:r>
      <w:r w:rsidRPr="00EE47BD">
        <w:t>its replacement</w:t>
      </w:r>
      <w:r w:rsidRPr="00EE47BD">
        <w:rPr>
          <w:rStyle w:val="Emphasis"/>
        </w:rPr>
        <w:t xml:space="preserve"> </w:t>
      </w:r>
      <w:r w:rsidRPr="00EE47BD">
        <w:t>or equivalent legislation co</w:t>
      </w:r>
      <w:r w:rsidRPr="00EE47BD">
        <w:t>vering VET regulation in a non-referring state/territory as the case requires</w:t>
      </w:r>
    </w:p>
    <w:p w:rsidR="00000000" w:rsidRPr="00EE47BD" w:rsidP="00EE47BD">
      <w:pPr>
        <w:pStyle w:val="ListBullet"/>
      </w:pPr>
      <w:r w:rsidRPr="00EE47BD">
        <w:t>Where possible assessment must occur in operational workplace situations. Where this is not possible or where personal safety or environmental damage are limiting factors, asses</w:t>
      </w:r>
      <w:r w:rsidRPr="00EE47BD">
        <w:t>sment must occur in a sufficiently rigorous simulated environment that reflects realistic operational workplace conditions. This must cover all aspects of workplace performance, including environment, task skills, task management skills, contingency manage</w:t>
      </w:r>
      <w:r w:rsidRPr="00EE47BD">
        <w:t>ment skills and job role environment skills</w:t>
      </w:r>
    </w:p>
    <w:p w:rsidR="00000000" w:rsidRPr="00EE47BD" w:rsidP="00EE47BD">
      <w:pPr>
        <w:pStyle w:val="ListBullet"/>
      </w:pPr>
      <w:r w:rsidRPr="00EE47BD">
        <w:t>Conditions for assessment must include access to all tools, equipment, materials and documentation required, including relevant workplace procedures, product and manufacturing specifications</w:t>
      </w:r>
    </w:p>
    <w:p w:rsidR="00000000" w:rsidRPr="00EE47BD" w:rsidP="00EE47BD">
      <w:pPr>
        <w:pStyle w:val="ListBullet"/>
      </w:pPr>
      <w:r w:rsidRPr="00EE47BD">
        <w:t xml:space="preserve">Assessment processes </w:t>
      </w:r>
      <w:r w:rsidRPr="00EE47BD">
        <w:t>and techniques must be appropriate to the language, literacy and numeracy requirements of the work being performed and the needs of the candidate.</w:t>
      </w:r>
    </w:p>
    <w:p w:rsidR="00000000" w:rsidRPr="00EE47BD" w:rsidP="00EE47BD">
      <w:pPr>
        <w:pStyle w:val="AllowPageBreak"/>
      </w:pPr>
    </w:p>
    <w:p w:rsidR="00000000" w:rsidRPr="00EE47BD" w:rsidP="00EE47BD">
      <w:pPr>
        <w:pStyle w:val="Heading1"/>
      </w:pPr>
      <w:bookmarkStart w:id="5" w:name="O_952181"/>
      <w:bookmarkEnd w:id="5"/>
      <w:r w:rsidRPr="00EE47BD">
        <w:t>Links</w:t>
      </w:r>
    </w:p>
    <w:p w:rsidR="00000000" w:rsidRPr="00EE47BD" w:rsidP="001A22EC">
      <w:pPr>
        <w:pStyle w:val="BodyText"/>
      </w:pPr>
      <w:r w:rsidRPr="00EE47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6594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E47BD" w:rsidP="00EE47BD"/>
    <w:sectPr w:rsidSect="00EE47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7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7BD" w:rsidRPr="001A22EC" w:rsidP="001A22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7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2EC" w:rsidP="00EE47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22EC" w:rsidP="00EE47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A22EC" w:rsidP="00EE47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7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2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47BD" w:rsidRPr="001A22EC" w:rsidP="001A22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7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2EC" w:rsidRPr="002D2AF8" w:rsidP="00EE47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MEM26011 Determine materials and techniques for a composite component or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A22EC" w:rsidP="00EE47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E0A1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B84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0088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7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47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47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47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47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47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47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47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47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47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47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47BD"/>
  </w:style>
  <w:style w:type="character" w:customStyle="1" w:styleId="Heading1Char">
    <w:name w:val="Heading 1 Char"/>
    <w:basedOn w:val="DefaultParagraphFont"/>
    <w:link w:val="Heading1"/>
    <w:rsid w:val="00EE47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47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47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47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47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47BD"/>
    <w:rPr>
      <w:i/>
    </w:rPr>
  </w:style>
  <w:style w:type="paragraph" w:customStyle="1" w:styleId="SuperHeading">
    <w:name w:val="SuperHeading"/>
    <w:basedOn w:val="Normal"/>
    <w:rsid w:val="00EE47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47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47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47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47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4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4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4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4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47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47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47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47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47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47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47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47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47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47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47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47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47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47BD"/>
    <w:rPr>
      <w:b/>
      <w:spacing w:val="0"/>
    </w:rPr>
  </w:style>
  <w:style w:type="paragraph" w:customStyle="1" w:styleId="SuperTitle">
    <w:name w:val="SuperTitle"/>
    <w:basedOn w:val="Title"/>
    <w:rsid w:val="00EE47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47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47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47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47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47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47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47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47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47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47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47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47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47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47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47BD"/>
  </w:style>
  <w:style w:type="paragraph" w:styleId="TableofFigures">
    <w:name w:val="table of figures"/>
    <w:basedOn w:val="Normal"/>
    <w:next w:val="Normal"/>
    <w:semiHidden/>
    <w:rsid w:val="00EE47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47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47BD"/>
    <w:rPr>
      <w:rFonts w:ascii="Wingdings" w:hAnsi="Wingdings"/>
    </w:rPr>
  </w:style>
  <w:style w:type="paragraph" w:customStyle="1" w:styleId="TableHeading">
    <w:name w:val="Table Heading"/>
    <w:basedOn w:val="HeadingBase"/>
    <w:rsid w:val="00EE47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47BD"/>
    <w:rPr>
      <w:color w:val="0033CC"/>
      <w:u w:val="none"/>
    </w:rPr>
  </w:style>
  <w:style w:type="paragraph" w:customStyle="1" w:styleId="BodyTextRight">
    <w:name w:val="Body Text Right"/>
    <w:basedOn w:val="BodyText"/>
    <w:rsid w:val="00EE47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47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47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47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47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47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47BD"/>
    <w:rPr>
      <w:sz w:val="32"/>
    </w:rPr>
  </w:style>
  <w:style w:type="paragraph" w:customStyle="1" w:styleId="HeadingProcedure">
    <w:name w:val="Heading Procedure"/>
    <w:basedOn w:val="HeadingBase"/>
    <w:next w:val="Normal"/>
    <w:rsid w:val="00EE47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47BD"/>
    <w:pPr>
      <w:spacing w:before="60" w:after="60"/>
    </w:pPr>
  </w:style>
  <w:style w:type="paragraph" w:styleId="ListContinue">
    <w:name w:val="List Continue"/>
    <w:basedOn w:val="List"/>
    <w:rsid w:val="00EE47BD"/>
    <w:pPr>
      <w:ind w:firstLine="0"/>
    </w:pPr>
  </w:style>
  <w:style w:type="paragraph" w:customStyle="1" w:styleId="ListNote">
    <w:name w:val="List Note"/>
    <w:basedOn w:val="List"/>
    <w:rsid w:val="00EE47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47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47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47BD"/>
    <w:rPr>
      <w:rFonts w:ascii="Courier New" w:hAnsi="Courier New"/>
    </w:rPr>
  </w:style>
  <w:style w:type="paragraph" w:customStyle="1" w:styleId="NoteBullet">
    <w:name w:val="Note Bullet"/>
    <w:basedOn w:val="Note"/>
    <w:rsid w:val="00EE47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47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47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47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47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47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47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47BD"/>
    <w:rPr>
      <w:b/>
      <w:smallCaps/>
    </w:rPr>
  </w:style>
  <w:style w:type="paragraph" w:customStyle="1" w:styleId="TableListNumber">
    <w:name w:val="Table List Number"/>
    <w:basedOn w:val="ListNumber"/>
    <w:rsid w:val="00EE47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47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47BD"/>
    <w:pPr>
      <w:numPr>
        <w:numId w:val="9"/>
      </w:numPr>
    </w:pPr>
  </w:style>
  <w:style w:type="paragraph" w:customStyle="1" w:styleId="ListAlpha2">
    <w:name w:val="List Alpha 2"/>
    <w:basedOn w:val="List2"/>
    <w:rsid w:val="00EE47BD"/>
    <w:pPr>
      <w:numPr>
        <w:numId w:val="8"/>
      </w:numPr>
    </w:pPr>
  </w:style>
  <w:style w:type="paragraph" w:styleId="List2">
    <w:name w:val="List 2"/>
    <w:basedOn w:val="BodyText"/>
    <w:rsid w:val="00EE47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47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47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47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47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47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47BD"/>
    <w:pPr>
      <w:numPr>
        <w:numId w:val="4"/>
      </w:numPr>
    </w:pPr>
  </w:style>
  <w:style w:type="paragraph" w:styleId="ListContinue2">
    <w:name w:val="List Continue 2"/>
    <w:basedOn w:val="List2"/>
    <w:rsid w:val="00EE47BD"/>
    <w:pPr>
      <w:ind w:firstLine="0"/>
    </w:pPr>
  </w:style>
  <w:style w:type="paragraph" w:styleId="ListContinue3">
    <w:name w:val="List Continue 3"/>
    <w:basedOn w:val="List3"/>
    <w:rsid w:val="00EE47BD"/>
    <w:pPr>
      <w:ind w:left="1021" w:firstLine="0"/>
    </w:pPr>
  </w:style>
  <w:style w:type="paragraph" w:styleId="ListContinue4">
    <w:name w:val="List Continue 4"/>
    <w:basedOn w:val="List4"/>
    <w:rsid w:val="00EE47BD"/>
    <w:pPr>
      <w:ind w:firstLine="0"/>
    </w:pPr>
  </w:style>
  <w:style w:type="paragraph" w:styleId="ListContinue5">
    <w:name w:val="List Continue 5"/>
    <w:basedOn w:val="List5"/>
    <w:rsid w:val="00EE47BD"/>
    <w:pPr>
      <w:ind w:firstLine="0"/>
    </w:pPr>
  </w:style>
  <w:style w:type="paragraph" w:styleId="ListNumber3">
    <w:name w:val="List Number 3"/>
    <w:basedOn w:val="List3"/>
    <w:rsid w:val="00EE47BD"/>
    <w:pPr>
      <w:numPr>
        <w:numId w:val="5"/>
      </w:numPr>
    </w:pPr>
  </w:style>
  <w:style w:type="paragraph" w:styleId="ListNumber4">
    <w:name w:val="List Number 4"/>
    <w:basedOn w:val="List4"/>
    <w:rsid w:val="00EE47BD"/>
    <w:pPr>
      <w:numPr>
        <w:numId w:val="6"/>
      </w:numPr>
    </w:pPr>
  </w:style>
  <w:style w:type="paragraph" w:styleId="ListNumber5">
    <w:name w:val="List Number 5"/>
    <w:basedOn w:val="List5"/>
    <w:rsid w:val="00EE47BD"/>
    <w:pPr>
      <w:numPr>
        <w:numId w:val="7"/>
      </w:numPr>
    </w:pPr>
  </w:style>
  <w:style w:type="paragraph" w:styleId="BlockText">
    <w:name w:val="Block Text"/>
    <w:basedOn w:val="Normal"/>
    <w:rsid w:val="00EE47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47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47BD"/>
    <w:rPr>
      <w:sz w:val="16"/>
      <w:vertAlign w:val="superscript"/>
    </w:rPr>
  </w:style>
  <w:style w:type="character" w:customStyle="1" w:styleId="Symbols">
    <w:name w:val="Symbols"/>
    <w:basedOn w:val="DefaultParagraphFont"/>
    <w:rsid w:val="00EE47BD"/>
    <w:rPr>
      <w:rFonts w:ascii="Symbol" w:hAnsi="Symbol"/>
    </w:rPr>
  </w:style>
  <w:style w:type="character" w:customStyle="1" w:styleId="MenuOptions">
    <w:name w:val="Menu Options"/>
    <w:basedOn w:val="DefaultParagraphFont"/>
    <w:rsid w:val="00EE47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47BD"/>
    <w:rPr>
      <w:b/>
    </w:rPr>
  </w:style>
  <w:style w:type="character" w:customStyle="1" w:styleId="Underlined">
    <w:name w:val="Underlined"/>
    <w:basedOn w:val="DefaultParagraphFont"/>
    <w:rsid w:val="00EE47BD"/>
    <w:rPr>
      <w:u w:val="single"/>
    </w:rPr>
  </w:style>
  <w:style w:type="paragraph" w:customStyle="1" w:styleId="TableBodyTextRight">
    <w:name w:val="Table Body Text Right"/>
    <w:basedOn w:val="TableBodyText"/>
    <w:rsid w:val="00EE47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47BD"/>
    <w:rPr>
      <w:sz w:val="18"/>
    </w:rPr>
  </w:style>
  <w:style w:type="paragraph" w:customStyle="1" w:styleId="BodySmallRight">
    <w:name w:val="Body Small Right"/>
    <w:basedOn w:val="BodyTextRight"/>
    <w:rsid w:val="00EE47BD"/>
    <w:rPr>
      <w:sz w:val="18"/>
      <w:szCs w:val="18"/>
    </w:rPr>
  </w:style>
  <w:style w:type="paragraph" w:customStyle="1" w:styleId="MarginEdition">
    <w:name w:val="Margin Edition"/>
    <w:basedOn w:val="MarginNote"/>
    <w:rsid w:val="00EE47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47BD"/>
    <w:rPr>
      <w:sz w:val="2"/>
      <w:szCs w:val="2"/>
    </w:rPr>
  </w:style>
  <w:style w:type="character" w:customStyle="1" w:styleId="Small">
    <w:name w:val="Small"/>
    <w:basedOn w:val="DefaultParagraphFont"/>
    <w:rsid w:val="00EE47BD"/>
    <w:rPr>
      <w:sz w:val="16"/>
    </w:rPr>
  </w:style>
  <w:style w:type="paragraph" w:customStyle="1" w:styleId="WideTable">
    <w:name w:val="Wide Table"/>
    <w:basedOn w:val="Normal"/>
    <w:rsid w:val="00EE47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47BD"/>
  </w:style>
  <w:style w:type="paragraph" w:styleId="Quote">
    <w:name w:val="Quote"/>
    <w:basedOn w:val="Heading1"/>
    <w:link w:val="QuoteChar"/>
    <w:qFormat/>
    <w:rsid w:val="00EE47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47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47BD"/>
    <w:pPr>
      <w:pageBreakBefore/>
    </w:pPr>
  </w:style>
  <w:style w:type="paragraph" w:customStyle="1" w:styleId="Border">
    <w:name w:val="Border"/>
    <w:basedOn w:val="Normal"/>
    <w:qFormat/>
    <w:rsid w:val="00EE47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47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7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7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47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47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47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47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47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47BD"/>
    <w:rPr>
      <w:u w:val="single"/>
    </w:rPr>
  </w:style>
  <w:style w:type="character" w:customStyle="1" w:styleId="BoldandItalics">
    <w:name w:val="Bold and Italics"/>
    <w:qFormat/>
    <w:rsid w:val="00EE47BD"/>
    <w:rPr>
      <w:b/>
      <w:i/>
      <w:u w:val="none"/>
    </w:rPr>
  </w:style>
  <w:style w:type="paragraph" w:styleId="BalloonText">
    <w:name w:val="Balloon Text"/>
    <w:basedOn w:val="Normal"/>
    <w:link w:val="BalloonTextChar"/>
    <w:rsid w:val="00EE47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47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47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47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47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47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47BD"/>
    <w:pPr>
      <w:spacing w:before="0" w:after="0"/>
    </w:pPr>
  </w:style>
  <w:style w:type="paragraph" w:customStyle="1" w:styleId="BodyTextBold">
    <w:name w:val="Body Text Bold"/>
    <w:basedOn w:val="BodyText"/>
    <w:qFormat/>
    <w:rsid w:val="00EE47BD"/>
    <w:rPr>
      <w:b/>
    </w:rPr>
  </w:style>
  <w:style w:type="character" w:styleId="Hyperlink">
    <w:name w:val="Hyperlink"/>
    <w:basedOn w:val="DefaultParagraphFont"/>
    <w:uiPriority w:val="99"/>
    <w:unhideWhenUsed/>
    <w:rsid w:val="001A22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3481</Characters>
  <Application>Microsoft Office Word</Application>
  <DocSecurity>0</DocSecurity>
  <Lines>74</Lines>
  <Paragraphs>43</Paragraphs>
  <ScaleCrop>false</ScaleCrop>
  <Company>Author-it Software Corporation Ltd.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MEM26011 Determine materials and techniques for a composite component or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2023-02-03T08:11:00Z</dcterms:created>
  <dcterms:modified xsi:type="dcterms:W3CDTF">2023-02-03T08:11:00Z</dcterms:modified>
</cp:coreProperties>
</file>