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1A1" w:rsidP="005E11A1">
      <w:pPr>
        <w:pStyle w:val="Title"/>
      </w:pPr>
      <w:r>
        <w:fldChar w:fldCharType="begin"/>
      </w:r>
      <w:r>
        <w:instrText xml:space="preserve"> TITLE   \* MERGEFORMAT </w:instrText>
      </w:r>
      <w:r>
        <w:fldChar w:fldCharType="separate"/>
      </w:r>
      <w:r>
        <w:t>MEM26010 Store and handle composite materials</w:t>
      </w:r>
      <w:r>
        <w:fldChar w:fldCharType="end"/>
      </w:r>
    </w:p>
    <w:p w:rsidR="005E11A1" w:rsidP="005E11A1">
      <w:pPr>
        <w:pStyle w:val="Version"/>
        <w:sectPr w:rsidSect="003435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5EB" w:rsidP="003435EB">
      <w:pPr>
        <w:pStyle w:val="SuperHeading"/>
      </w:pPr>
      <w:r w:rsidRPr="003435EB">
        <w:t>MEM26010 Store and handle composite materials</w:t>
      </w:r>
    </w:p>
    <w:p w:rsidR="00000000" w:rsidRPr="003435EB" w:rsidP="003435EB">
      <w:pPr>
        <w:pStyle w:val="Heading1"/>
      </w:pPr>
      <w:bookmarkStart w:id="1" w:name="O_952167"/>
      <w:bookmarkEnd w:id="1"/>
      <w:r w:rsidRPr="003435EB">
        <w:t>Modification History</w:t>
      </w:r>
    </w:p>
    <w:p w:rsidR="00000000" w:rsidRPr="003435EB" w:rsidP="005E11A1">
      <w:pPr>
        <w:pStyle w:val="BodyText"/>
      </w:pPr>
      <w:r w:rsidRPr="003435EB">
        <w:t xml:space="preserve">Release 1. Supersedes and is equivalent to MEM26010A Store and handle composite materials </w:t>
      </w:r>
    </w:p>
    <w:p w:rsidR="00000000" w:rsidRPr="003435EB" w:rsidP="003435EB">
      <w:pPr>
        <w:pStyle w:val="Heading1"/>
      </w:pPr>
      <w:bookmarkStart w:id="2" w:name="O_952175"/>
      <w:bookmarkEnd w:id="2"/>
      <w:r w:rsidRPr="003435EB">
        <w:t>Application</w:t>
      </w:r>
    </w:p>
    <w:p w:rsidR="00000000" w:rsidRPr="003435EB" w:rsidP="005E11A1">
      <w:pPr>
        <w:pStyle w:val="BodyText"/>
      </w:pPr>
      <w:r w:rsidRPr="003435EB">
        <w:t>This unit of competency defines the skills and knowledge required to recognise hazards, shelf life, commerc</w:t>
      </w:r>
      <w:r w:rsidRPr="003435EB">
        <w:t>ial and other issues controlling appropriate storage and handling of materials used to make composites.</w:t>
      </w:r>
    </w:p>
    <w:p w:rsidR="00000000" w:rsidRPr="003435EB" w:rsidP="005E11A1">
      <w:pPr>
        <w:pStyle w:val="BodyText"/>
      </w:pPr>
      <w:r w:rsidRPr="003435EB">
        <w:t>No licensing, legislative or certification requirements apply to this unit at the time of publication.</w:t>
      </w:r>
    </w:p>
    <w:p w:rsidR="00000000" w:rsidRPr="003435EB" w:rsidP="003435EB">
      <w:pPr>
        <w:pStyle w:val="BodyText"/>
      </w:pPr>
      <w:r w:rsidRPr="003435EB">
        <w:rPr>
          <w:rStyle w:val="SpecialBold"/>
        </w:rPr>
        <w:t>Band</w:t>
      </w:r>
      <w:r w:rsidRPr="003435EB">
        <w:t>:</w:t>
      </w:r>
      <w:r w:rsidRPr="003435EB">
        <w:tab/>
      </w:r>
      <w:r w:rsidRPr="003435EB">
        <w:rPr>
          <w:rStyle w:val="SpecialBold"/>
        </w:rPr>
        <w:t>A</w:t>
      </w:r>
    </w:p>
    <w:p w:rsidR="00000000" w:rsidRPr="003435EB" w:rsidP="003435EB">
      <w:pPr>
        <w:pStyle w:val="BodyText"/>
      </w:pPr>
      <w:r w:rsidRPr="003435EB">
        <w:rPr>
          <w:rStyle w:val="SpecialBold"/>
        </w:rPr>
        <w:t>Unit Weight:</w:t>
      </w:r>
      <w:r w:rsidRPr="003435EB">
        <w:rPr>
          <w:rStyle w:val="SpecialBold"/>
        </w:rPr>
        <w:tab/>
        <w:t>2</w:t>
      </w:r>
    </w:p>
    <w:p w:rsidR="00000000" w:rsidRPr="003435EB" w:rsidP="003435EB">
      <w:pPr>
        <w:pStyle w:val="AllowPageBreak"/>
      </w:pPr>
    </w:p>
    <w:p w:rsidR="00000000" w:rsidRPr="003435EB" w:rsidP="003435EB">
      <w:pPr>
        <w:pStyle w:val="Heading1"/>
      </w:pPr>
      <w:bookmarkStart w:id="3" w:name="O_952174"/>
      <w:bookmarkEnd w:id="3"/>
      <w:r w:rsidRPr="003435EB">
        <w:t>Pre-req</w:t>
      </w:r>
      <w:r w:rsidRPr="003435EB">
        <w:t>uisite Unit</w:t>
      </w:r>
    </w:p>
    <w:tbl>
      <w:tblPr>
        <w:tblW w:w="0" w:type="auto"/>
        <w:tblLayout w:type="fixed"/>
        <w:tblCellMar>
          <w:left w:w="62" w:type="dxa"/>
          <w:right w:w="62" w:type="dxa"/>
        </w:tblCellMar>
        <w:tblLook w:val="0000"/>
      </w:tblPr>
      <w:tblGrid>
        <w:gridCol w:w="2186"/>
        <w:gridCol w:w="6886"/>
      </w:tblGrid>
      <w:tr w:rsidTr="003435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MEM13015</w:t>
            </w:r>
          </w:p>
        </w:tc>
        <w:tc>
          <w:tcPr>
            <w:tcW w:w="6886"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Work safely and effectively in manufacturing and engineering</w:t>
            </w:r>
          </w:p>
        </w:tc>
      </w:tr>
      <w:tr w:rsidTr="003435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MEM16006</w:t>
            </w:r>
          </w:p>
        </w:tc>
        <w:tc>
          <w:tcPr>
            <w:tcW w:w="6886" w:type="dxa"/>
            <w:tcBorders>
              <w:top w:val="nil"/>
              <w:left w:val="nil"/>
              <w:bottom w:val="nil"/>
              <w:right w:val="nil"/>
            </w:tcBorders>
            <w:tcMar>
              <w:top w:w="0" w:type="dxa"/>
              <w:left w:w="62" w:type="dxa"/>
              <w:bottom w:w="0" w:type="dxa"/>
              <w:right w:w="62" w:type="dxa"/>
            </w:tcMar>
          </w:tcPr>
          <w:p w:rsidR="00000000" w:rsidRPr="003435EB" w:rsidP="003435EB">
            <w:pPr>
              <w:pStyle w:val="BodyText"/>
            </w:pPr>
            <w:r w:rsidRPr="003435EB">
              <w:t>Organise and communicate information</w:t>
            </w:r>
          </w:p>
        </w:tc>
      </w:tr>
    </w:tbl>
    <w:p w:rsidR="00000000" w:rsidRPr="003435EB" w:rsidP="003435EB">
      <w:pPr>
        <w:pStyle w:val="BodyText"/>
      </w:pPr>
    </w:p>
    <w:p w:rsidR="00000000" w:rsidRPr="003435EB" w:rsidP="003435EB">
      <w:pPr>
        <w:pStyle w:val="AllowPageBreak"/>
      </w:pPr>
    </w:p>
    <w:p w:rsidR="00000000" w:rsidRPr="003435EB" w:rsidP="003435EB">
      <w:pPr>
        <w:pStyle w:val="Heading1"/>
      </w:pPr>
      <w:bookmarkStart w:id="4" w:name="O_952173"/>
      <w:bookmarkEnd w:id="4"/>
      <w:r w:rsidRPr="003435EB">
        <w:t>Competency Field</w:t>
      </w:r>
    </w:p>
    <w:p w:rsidR="00000000" w:rsidRPr="003435EB" w:rsidP="005E11A1">
      <w:pPr>
        <w:pStyle w:val="BodyText"/>
      </w:pPr>
      <w:r w:rsidRPr="003435EB">
        <w:t>Composites</w:t>
      </w:r>
    </w:p>
    <w:p w:rsidR="00000000" w:rsidRPr="003435EB" w:rsidP="003435EB">
      <w:pPr>
        <w:pStyle w:val="Heading1"/>
      </w:pPr>
      <w:bookmarkStart w:id="5" w:name="O_952171"/>
      <w:bookmarkEnd w:id="5"/>
      <w:r w:rsidRPr="003435E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435EB">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Performance criteria describe the performance needed to demonstrate achievement of the element.</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435EB" w:rsidP="003435EB">
            <w:pPr>
              <w:pStyle w:val="BodyText"/>
            </w:pPr>
            <w:r w:rsidRPr="003435EB">
              <w:t>1</w:t>
            </w:r>
          </w:p>
        </w:tc>
        <w:tc>
          <w:tcPr>
            <w:tcW w:w="1986" w:type="dxa"/>
            <w:vMerge w:val="restart"/>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rPr>
                <w:rStyle w:val="SpecialBold"/>
              </w:rPr>
              <w:t>Identify properties and characteristics of materials used</w:t>
            </w: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1.1</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Follow standard operating procedures (SOPs)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1.2</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Comply with work health and safety (WHS) requirements at all times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1.3</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 xml:space="preserve">Select and use appropriate personal protective equipment </w:t>
            </w:r>
            <w:r w:rsidRPr="003435EB">
              <w:t>(PPE) in accordance with SOPs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1.4</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List all materials used on site</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1.5</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Interpret safety data sheet (SDS) fo</w:t>
            </w:r>
            <w:r w:rsidRPr="003435EB">
              <w:t>r each material</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1.6</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Identify relevant manual handling issues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1.7</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Identify and define environmental hazards for each material</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1.8</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Categorise materials into groups based on their hazards and determine appropriate hazard controls</w:t>
            </w:r>
          </w:p>
        </w:tc>
      </w:tr>
      <w:tr w:rsidTr="003435E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435EB">
            <w:pPr>
              <w:pStyle w:val="BodyText"/>
              <w:rPr>
                <w:lang w:val="en-NZ"/>
              </w:rPr>
            </w:pP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435EB" w:rsidP="003435EB">
            <w:pPr>
              <w:pStyle w:val="BodyText"/>
            </w:pPr>
            <w:r w:rsidRPr="003435EB">
              <w:t>2</w:t>
            </w:r>
          </w:p>
        </w:tc>
        <w:tc>
          <w:tcPr>
            <w:tcW w:w="1986" w:type="dxa"/>
            <w:vMerge w:val="restart"/>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rPr>
                <w:rStyle w:val="SpecialBold"/>
              </w:rPr>
              <w:t>Identify key factors effecting storage and handling</w:t>
            </w: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2.1</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Identify requirements for dangerous goods licence</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2.2</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Identify environmental regulation requirements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2.3</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Identify usage patterns and frequencies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2.4</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Identify cost sensitivity to volume purchased</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2.5</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Identify shelf life</w:t>
            </w:r>
          </w:p>
        </w:tc>
      </w:tr>
      <w:tr w:rsidTr="003435E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435EB">
            <w:pPr>
              <w:pStyle w:val="BodyText"/>
              <w:rPr>
                <w:lang w:val="en-NZ"/>
              </w:rPr>
            </w:pP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435EB" w:rsidP="003435EB">
            <w:pPr>
              <w:pStyle w:val="BodyText"/>
            </w:pPr>
            <w:r w:rsidRPr="003435EB">
              <w:t>3</w:t>
            </w:r>
          </w:p>
        </w:tc>
        <w:tc>
          <w:tcPr>
            <w:tcW w:w="1986" w:type="dxa"/>
            <w:vMerge w:val="restart"/>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rPr>
                <w:rStyle w:val="SpecialBold"/>
              </w:rPr>
              <w:t>Determine appropriate storage and handling protocols</w:t>
            </w: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3.1</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Check manufacturer’s storage and handling recommendations/requirements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3.2</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Check SDS and dangerous goods/Environment Protection Agency (EPA)/WHS requirements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3.3</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Check company usage requirements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3.4</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Resolve conflicts between different requirements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3.5</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Prepare storage and handling procedure for materials</w:t>
            </w:r>
          </w:p>
        </w:tc>
      </w:tr>
      <w:tr w:rsidTr="003435E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435EB">
            <w:pPr>
              <w:pStyle w:val="BodyText"/>
              <w:rPr>
                <w:lang w:val="en-NZ"/>
              </w:rPr>
            </w:pP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435EB" w:rsidP="003435EB">
            <w:pPr>
              <w:pStyle w:val="BodyText"/>
            </w:pPr>
            <w:r w:rsidRPr="003435EB">
              <w:t>4</w:t>
            </w:r>
          </w:p>
        </w:tc>
        <w:tc>
          <w:tcPr>
            <w:tcW w:w="1986" w:type="dxa"/>
            <w:vMerge w:val="restart"/>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rPr>
                <w:rStyle w:val="SpecialBold"/>
              </w:rPr>
              <w:t>Store and handle materials in accordance with protocols</w:t>
            </w: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4.1</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Identify and control hazards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4.2</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Use required handling aids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4.3</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Move and store materials in accordance with procedures</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4.4</w:t>
            </w:r>
          </w:p>
        </w:tc>
        <w:tc>
          <w:tcPr>
            <w:tcW w:w="5678"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Monitor storage and handling of materials and identify areas for improvement and take appropriate action, as required</w:t>
            </w:r>
          </w:p>
        </w:tc>
      </w:tr>
      <w:tr w:rsidTr="003435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4.5</w:t>
            </w:r>
          </w:p>
        </w:tc>
        <w:tc>
          <w:tcPr>
            <w:tcW w:w="5678" w:type="dxa"/>
            <w:tcBorders>
              <w:top w:val="nil"/>
              <w:left w:val="nil"/>
              <w:bottom w:val="nil"/>
              <w:right w:val="nil"/>
            </w:tcBorders>
            <w:tcMar>
              <w:top w:w="0" w:type="dxa"/>
              <w:left w:w="62" w:type="dxa"/>
              <w:bottom w:w="0" w:type="dxa"/>
              <w:right w:w="62" w:type="dxa"/>
            </w:tcMar>
          </w:tcPr>
          <w:p w:rsidR="00000000" w:rsidRPr="003435EB" w:rsidP="003435EB">
            <w:pPr>
              <w:pStyle w:val="BodyText"/>
            </w:pPr>
            <w:r w:rsidRPr="003435EB">
              <w:t>Complete any required documentation/reporting according to SOPs</w:t>
            </w:r>
          </w:p>
        </w:tc>
      </w:tr>
    </w:tbl>
    <w:p w:rsidR="00000000" w:rsidRPr="003435EB" w:rsidP="003435EB">
      <w:pPr>
        <w:pStyle w:val="BodyText"/>
      </w:pPr>
    </w:p>
    <w:p w:rsidR="00000000" w:rsidRPr="003435EB" w:rsidP="003435EB">
      <w:pPr>
        <w:pStyle w:val="AllowPageBreak"/>
      </w:pPr>
    </w:p>
    <w:p w:rsidR="00000000" w:rsidRPr="003435EB" w:rsidP="003435EB">
      <w:pPr>
        <w:pStyle w:val="Heading1"/>
      </w:pPr>
      <w:bookmarkStart w:id="6" w:name="O_952170"/>
      <w:bookmarkEnd w:id="6"/>
      <w:r w:rsidRPr="003435EB">
        <w:t>Foundation Skills</w:t>
      </w:r>
    </w:p>
    <w:p w:rsidR="00000000" w:rsidRPr="003435EB" w:rsidP="005E11A1">
      <w:pPr>
        <w:pStyle w:val="BodyText"/>
      </w:pPr>
      <w:r w:rsidRPr="003435EB">
        <w:t>This section describes those r</w:t>
      </w:r>
      <w:r w:rsidRPr="003435EB">
        <w:t xml:space="preserve">equired skills (reading, writing, oral communication and numeracy) that are essential to workplace performance in this unit of competency.  </w:t>
      </w:r>
    </w:p>
    <w:p w:rsidR="00000000" w:rsidRPr="003435EB" w:rsidP="005E11A1">
      <w:pPr>
        <w:pStyle w:val="BodyText"/>
      </w:pPr>
      <w:r w:rsidRPr="003435EB">
        <w:t>Foundation skills essential to performance are explicit in the performance criteria of this unit of competency.</w:t>
      </w:r>
    </w:p>
    <w:p w:rsidR="00000000" w:rsidRPr="003435EB" w:rsidP="003435EB">
      <w:pPr>
        <w:pStyle w:val="Heading1"/>
      </w:pPr>
      <w:bookmarkStart w:id="7" w:name="O_952169"/>
      <w:bookmarkEnd w:id="7"/>
      <w:r w:rsidRPr="003435EB">
        <w:t>Range of Conditions</w:t>
      </w:r>
    </w:p>
    <w:tbl>
      <w:tblPr>
        <w:tblW w:w="0" w:type="auto"/>
        <w:tblLayout w:type="fixed"/>
        <w:tblCellMar>
          <w:left w:w="62" w:type="dxa"/>
          <w:right w:w="62" w:type="dxa"/>
        </w:tblCellMar>
        <w:tblLook w:val="0000"/>
      </w:tblPr>
      <w:tblGrid>
        <w:gridCol w:w="2662"/>
        <w:gridCol w:w="6428"/>
      </w:tblGrid>
      <w:tr w:rsidTr="003435EB">
        <w:tblPrEx>
          <w:tblW w:w="0" w:type="auto"/>
          <w:tblLayout w:type="fixed"/>
          <w:tblCellMar>
            <w:left w:w="62" w:type="dxa"/>
            <w:right w:w="62" w:type="dxa"/>
          </w:tblCellMar>
          <w:tblLook w:val="0000"/>
        </w:tblPrEx>
        <w:trPr>
          <w:tblHeader/>
        </w:trPr>
        <w:tc>
          <w:tcPr>
            <w:tcW w:w="9090" w:type="dxa"/>
            <w:gridSpan w:val="2"/>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t xml:space="preserve">This field allows for different work environments and conditions that may affect performance. Essential operating conditions that may be present (depending on the work situation, needs of the candidate, accessibility of </w:t>
            </w:r>
            <w:r w:rsidRPr="003435EB">
              <w:t>the item, and local industry and regional contexts) are included.</w:t>
            </w:r>
          </w:p>
        </w:tc>
      </w:tr>
      <w:tr w:rsidTr="003435EB">
        <w:tblPrEx>
          <w:tblW w:w="0" w:type="auto"/>
          <w:tblLayout w:type="fixed"/>
          <w:tblCellMar>
            <w:left w:w="62" w:type="dxa"/>
            <w:right w:w="62" w:type="dxa"/>
          </w:tblCellMar>
          <w:tblLook w:val="0000"/>
        </w:tblPrEx>
        <w:trPr>
          <w:trHeight w:val="3414"/>
        </w:trPr>
        <w:tc>
          <w:tcPr>
            <w:tcW w:w="2662"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rPr>
                <w:rStyle w:val="SpecialBold"/>
              </w:rPr>
              <w:t>Materials include one (1) or more of the following:</w:t>
            </w:r>
          </w:p>
        </w:tc>
        <w:tc>
          <w:tcPr>
            <w:tcW w:w="6428" w:type="dxa"/>
            <w:tcBorders>
              <w:top w:val="nil"/>
              <w:left w:val="nil"/>
              <w:bottom w:val="nil"/>
              <w:right w:val="nil"/>
            </w:tcBorders>
            <w:tcMar>
              <w:top w:w="0" w:type="dxa"/>
              <w:left w:w="62" w:type="dxa"/>
              <w:bottom w:w="0" w:type="dxa"/>
              <w:right w:w="62" w:type="dxa"/>
            </w:tcMar>
          </w:tcPr>
          <w:p w:rsidR="00000000" w:rsidRPr="003435EB" w:rsidP="003435EB">
            <w:pPr>
              <w:pStyle w:val="ListBullet"/>
            </w:pPr>
            <w:r w:rsidRPr="003435EB">
              <w:t>resins</w:t>
            </w:r>
          </w:p>
          <w:p w:rsidR="00000000" w:rsidRPr="003435EB" w:rsidP="003435EB">
            <w:pPr>
              <w:pStyle w:val="ListBullet"/>
            </w:pPr>
            <w:r w:rsidRPr="003435EB">
              <w:t>catalysts</w:t>
            </w:r>
          </w:p>
          <w:p w:rsidR="00000000" w:rsidRPr="003435EB" w:rsidP="003435EB">
            <w:pPr>
              <w:pStyle w:val="ListBullet"/>
            </w:pPr>
            <w:r w:rsidRPr="003435EB">
              <w:t>promoters</w:t>
            </w:r>
          </w:p>
          <w:p w:rsidR="00000000" w:rsidRPr="003435EB" w:rsidP="003435EB">
            <w:pPr>
              <w:pStyle w:val="ListBullet"/>
            </w:pPr>
            <w:r w:rsidRPr="003435EB">
              <w:t>solvents</w:t>
            </w:r>
          </w:p>
          <w:p w:rsidR="00000000" w:rsidRPr="003435EB" w:rsidP="003435EB">
            <w:pPr>
              <w:pStyle w:val="ListBullet"/>
            </w:pPr>
            <w:r w:rsidRPr="003435EB">
              <w:t>reinforcing</w:t>
            </w:r>
          </w:p>
          <w:p w:rsidR="00000000" w:rsidRPr="003435EB" w:rsidP="003435EB">
            <w:pPr>
              <w:pStyle w:val="ListBullet"/>
            </w:pPr>
            <w:r w:rsidRPr="003435EB">
              <w:t>cores</w:t>
            </w:r>
          </w:p>
          <w:p w:rsidR="00000000" w:rsidRPr="003435EB" w:rsidP="003435EB">
            <w:pPr>
              <w:pStyle w:val="ListBullet"/>
            </w:pPr>
            <w:r w:rsidRPr="003435EB">
              <w:t>fillers</w:t>
            </w:r>
          </w:p>
          <w:p w:rsidR="00000000" w:rsidRPr="003435EB" w:rsidP="003435EB">
            <w:pPr>
              <w:pStyle w:val="ListBullet"/>
            </w:pPr>
            <w:r w:rsidRPr="003435EB">
              <w:t>pigments</w:t>
            </w:r>
          </w:p>
          <w:p w:rsidR="00000000" w:rsidRPr="003435EB" w:rsidP="003435EB">
            <w:pPr>
              <w:pStyle w:val="ListBullet"/>
            </w:pPr>
            <w:r w:rsidRPr="003435EB">
              <w:t>mould release</w:t>
            </w:r>
          </w:p>
          <w:p w:rsidR="00000000" w:rsidP="003435EB">
            <w:pPr>
              <w:pStyle w:val="ListBullet"/>
              <w:rPr>
                <w:lang w:val="en-NZ"/>
              </w:rPr>
            </w:pPr>
            <w:r w:rsidRPr="003435EB">
              <w:t>other materials used directly or i</w:t>
            </w:r>
            <w:r w:rsidRPr="003435EB">
              <w:t>ndirectly in making products</w:t>
            </w:r>
          </w:p>
        </w:tc>
      </w:tr>
      <w:tr w:rsidTr="003435EB">
        <w:tblPrEx>
          <w:tblW w:w="0" w:type="auto"/>
          <w:tblLayout w:type="fixed"/>
          <w:tblCellMar>
            <w:left w:w="62" w:type="dxa"/>
            <w:right w:w="62" w:type="dxa"/>
          </w:tblCellMar>
          <w:tblLook w:val="0000"/>
        </w:tblPrEx>
        <w:trPr>
          <w:trHeight w:val="1981"/>
        </w:trPr>
        <w:tc>
          <w:tcPr>
            <w:tcW w:w="2662"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rPr>
                <w:rStyle w:val="SpecialBold"/>
              </w:rPr>
              <w:t>Dangerous goods licence includes the following:</w:t>
            </w:r>
          </w:p>
        </w:tc>
        <w:tc>
          <w:tcPr>
            <w:tcW w:w="6428" w:type="dxa"/>
            <w:tcBorders>
              <w:top w:val="nil"/>
              <w:left w:val="nil"/>
              <w:bottom w:val="nil"/>
              <w:right w:val="nil"/>
            </w:tcBorders>
            <w:tcMar>
              <w:top w:w="0" w:type="dxa"/>
              <w:left w:w="62" w:type="dxa"/>
              <w:bottom w:w="0" w:type="dxa"/>
              <w:right w:w="62" w:type="dxa"/>
            </w:tcMar>
          </w:tcPr>
          <w:p w:rsidR="00000000" w:rsidRPr="003435EB" w:rsidP="003435EB">
            <w:pPr>
              <w:pStyle w:val="ListBullet"/>
            </w:pPr>
            <w:r w:rsidRPr="003435EB">
              <w:t>the dangerous goods licence conditions can vary between states/territories and councils but will typically cover conditions related to:</w:t>
            </w:r>
          </w:p>
          <w:p w:rsidR="00000000" w:rsidRPr="003435EB" w:rsidP="003435EB">
            <w:pPr>
              <w:pStyle w:val="ListBullet2"/>
            </w:pPr>
            <w:r w:rsidRPr="003435EB">
              <w:t>fire</w:t>
            </w:r>
          </w:p>
          <w:p w:rsidR="00000000" w:rsidRPr="003435EB" w:rsidP="003435EB">
            <w:pPr>
              <w:pStyle w:val="ListBullet2"/>
            </w:pPr>
            <w:r w:rsidRPr="003435EB">
              <w:t>storage</w:t>
            </w:r>
          </w:p>
          <w:p w:rsidR="00000000" w:rsidP="003435EB">
            <w:pPr>
              <w:pStyle w:val="ListBullet2"/>
              <w:rPr>
                <w:lang w:val="en-NZ"/>
              </w:rPr>
            </w:pPr>
            <w:r w:rsidRPr="003435EB">
              <w:t>the fee payable</w:t>
            </w:r>
          </w:p>
        </w:tc>
      </w:tr>
      <w:tr w:rsidTr="003435EB">
        <w:tblPrEx>
          <w:tblW w:w="0" w:type="auto"/>
          <w:tblLayout w:type="fixed"/>
          <w:tblCellMar>
            <w:left w:w="62" w:type="dxa"/>
            <w:right w:w="62" w:type="dxa"/>
          </w:tblCellMar>
          <w:tblLook w:val="0000"/>
        </w:tblPrEx>
        <w:trPr>
          <w:trHeight w:val="1520"/>
        </w:trPr>
        <w:tc>
          <w:tcPr>
            <w:tcW w:w="2662"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rPr>
                <w:rStyle w:val="SpecialBold"/>
              </w:rPr>
              <w:t>Environmental regulations include the following:</w:t>
            </w:r>
          </w:p>
        </w:tc>
        <w:tc>
          <w:tcPr>
            <w:tcW w:w="6428" w:type="dxa"/>
            <w:tcBorders>
              <w:top w:val="nil"/>
              <w:left w:val="nil"/>
              <w:bottom w:val="nil"/>
              <w:right w:val="nil"/>
            </w:tcBorders>
            <w:tcMar>
              <w:top w:w="0" w:type="dxa"/>
              <w:left w:w="62" w:type="dxa"/>
              <w:bottom w:w="0" w:type="dxa"/>
              <w:right w:w="62" w:type="dxa"/>
            </w:tcMar>
          </w:tcPr>
          <w:p w:rsidR="00000000" w:rsidRPr="003435EB" w:rsidP="003435EB">
            <w:pPr>
              <w:pStyle w:val="ListBullet"/>
            </w:pPr>
            <w:r w:rsidRPr="003435EB">
              <w:t>trade waste</w:t>
            </w:r>
          </w:p>
          <w:p w:rsidR="00000000" w:rsidRPr="003435EB" w:rsidP="003435EB">
            <w:pPr>
              <w:pStyle w:val="ListBullet"/>
            </w:pPr>
            <w:r w:rsidRPr="003435EB">
              <w:t>atmosphere</w:t>
            </w:r>
          </w:p>
          <w:p w:rsidR="00000000" w:rsidRPr="003435EB" w:rsidP="003435EB">
            <w:pPr>
              <w:pStyle w:val="ListBullet"/>
            </w:pPr>
            <w:r w:rsidRPr="003435EB">
              <w:t>other wastes</w:t>
            </w:r>
          </w:p>
          <w:p w:rsidR="00000000" w:rsidP="003435EB">
            <w:pPr>
              <w:pStyle w:val="ListBullet"/>
              <w:rPr>
                <w:lang w:val="en-NZ"/>
              </w:rPr>
            </w:pPr>
            <w:r w:rsidRPr="003435EB">
              <w:t>other emissions</w:t>
            </w:r>
          </w:p>
        </w:tc>
      </w:tr>
      <w:tr w:rsidTr="003435EB">
        <w:tblPrEx>
          <w:tblW w:w="0" w:type="auto"/>
          <w:tblLayout w:type="fixed"/>
          <w:tblCellMar>
            <w:left w:w="62" w:type="dxa"/>
            <w:right w:w="62" w:type="dxa"/>
          </w:tblCellMar>
          <w:tblLook w:val="0000"/>
        </w:tblPrEx>
        <w:trPr>
          <w:trHeight w:val="1788"/>
        </w:trPr>
        <w:tc>
          <w:tcPr>
            <w:tcW w:w="2662"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rPr>
                <w:rStyle w:val="SpecialBold"/>
              </w:rPr>
              <w:t>Hazard controls include the following:</w:t>
            </w:r>
          </w:p>
        </w:tc>
        <w:tc>
          <w:tcPr>
            <w:tcW w:w="6428" w:type="dxa"/>
            <w:tcBorders>
              <w:top w:val="nil"/>
              <w:left w:val="nil"/>
              <w:bottom w:val="nil"/>
              <w:right w:val="nil"/>
            </w:tcBorders>
            <w:tcMar>
              <w:top w:w="0" w:type="dxa"/>
              <w:left w:w="62" w:type="dxa"/>
              <w:bottom w:w="0" w:type="dxa"/>
              <w:right w:w="62" w:type="dxa"/>
            </w:tcMar>
          </w:tcPr>
          <w:p w:rsidR="00000000" w:rsidRPr="003435EB" w:rsidP="003435EB">
            <w:pPr>
              <w:pStyle w:val="ListBullet"/>
            </w:pPr>
            <w:r w:rsidRPr="003435EB">
              <w:t>elimination</w:t>
            </w:r>
          </w:p>
          <w:p w:rsidR="00000000" w:rsidRPr="003435EB" w:rsidP="003435EB">
            <w:pPr>
              <w:pStyle w:val="ListBullet"/>
            </w:pPr>
            <w:r w:rsidRPr="003435EB">
              <w:t>substitution</w:t>
            </w:r>
          </w:p>
          <w:p w:rsidR="00000000" w:rsidRPr="003435EB" w:rsidP="003435EB">
            <w:pPr>
              <w:pStyle w:val="ListBullet"/>
            </w:pPr>
            <w:r w:rsidRPr="003435EB">
              <w:t>isolation</w:t>
            </w:r>
          </w:p>
          <w:p w:rsidR="00000000" w:rsidRPr="003435EB" w:rsidP="003435EB">
            <w:pPr>
              <w:pStyle w:val="ListBullet"/>
            </w:pPr>
            <w:r w:rsidRPr="003435EB">
              <w:t>engineering controls</w:t>
            </w:r>
          </w:p>
          <w:p w:rsidR="00000000" w:rsidP="003435EB">
            <w:pPr>
              <w:pStyle w:val="ListBullet"/>
              <w:rPr>
                <w:lang w:val="en-NZ"/>
              </w:rPr>
            </w:pPr>
            <w:r w:rsidRPr="003435EB">
              <w:t>administration controls</w:t>
            </w:r>
          </w:p>
        </w:tc>
      </w:tr>
      <w:tr w:rsidTr="003435EB">
        <w:tblPrEx>
          <w:tblW w:w="0" w:type="auto"/>
          <w:tblLayout w:type="fixed"/>
          <w:tblCellMar>
            <w:left w:w="62" w:type="dxa"/>
            <w:right w:w="62" w:type="dxa"/>
          </w:tblCellMar>
          <w:tblLook w:val="0000"/>
        </w:tblPrEx>
        <w:trPr>
          <w:trHeight w:val="1654"/>
        </w:trPr>
        <w:tc>
          <w:tcPr>
            <w:tcW w:w="2662"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rPr>
                <w:rStyle w:val="SpecialBold"/>
              </w:rPr>
              <w:t>Storage hazards include the following:</w:t>
            </w:r>
          </w:p>
        </w:tc>
        <w:tc>
          <w:tcPr>
            <w:tcW w:w="6428" w:type="dxa"/>
            <w:tcBorders>
              <w:top w:val="nil"/>
              <w:left w:val="nil"/>
              <w:bottom w:val="nil"/>
              <w:right w:val="nil"/>
            </w:tcBorders>
            <w:tcMar>
              <w:top w:w="0" w:type="dxa"/>
              <w:left w:w="62" w:type="dxa"/>
              <w:bottom w:w="0" w:type="dxa"/>
              <w:right w:w="62" w:type="dxa"/>
            </w:tcMar>
          </w:tcPr>
          <w:p w:rsidR="00000000" w:rsidRPr="003435EB" w:rsidP="003435EB">
            <w:pPr>
              <w:pStyle w:val="ListBullet"/>
            </w:pPr>
            <w:r w:rsidRPr="003435EB">
              <w:t>chemical hazards (e.g. fire)</w:t>
            </w:r>
          </w:p>
          <w:p w:rsidR="00000000" w:rsidRPr="003435EB" w:rsidP="003435EB">
            <w:pPr>
              <w:pStyle w:val="ListBullet"/>
            </w:pPr>
            <w:r w:rsidRPr="003435EB">
              <w:t>physical hazards (e.g. manual handling)</w:t>
            </w:r>
          </w:p>
          <w:p w:rsidR="00000000" w:rsidRPr="003435EB" w:rsidP="003435EB">
            <w:pPr>
              <w:pStyle w:val="ListBullet"/>
            </w:pPr>
            <w:r w:rsidRPr="003435EB">
              <w:t xml:space="preserve">cost hazards (e.g. economic purchasing quantity </w:t>
            </w:r>
            <w:r w:rsidRPr="003435EB">
              <w:rPr>
                <w:rStyle w:val="Emphasis"/>
              </w:rPr>
              <w:t xml:space="preserve">versus </w:t>
            </w:r>
            <w:r w:rsidRPr="003435EB">
              <w:t>shelf life)</w:t>
            </w:r>
          </w:p>
          <w:p w:rsidR="00000000" w:rsidP="003435EB">
            <w:pPr>
              <w:pStyle w:val="ListBullet"/>
              <w:rPr>
                <w:lang w:val="en-NZ"/>
              </w:rPr>
            </w:pPr>
            <w:r w:rsidRPr="003435EB">
              <w:t>efficiency hazards (e.g. having the material where you need it when you need it)</w:t>
            </w:r>
          </w:p>
        </w:tc>
      </w:tr>
      <w:tr w:rsidTr="003435EB">
        <w:tblPrEx>
          <w:tblW w:w="0" w:type="auto"/>
          <w:tblLayout w:type="fixed"/>
          <w:tblCellMar>
            <w:left w:w="62" w:type="dxa"/>
            <w:right w:w="62" w:type="dxa"/>
          </w:tblCellMar>
          <w:tblLook w:val="0000"/>
        </w:tblPrEx>
        <w:trPr>
          <w:trHeight w:val="1654"/>
        </w:trPr>
        <w:tc>
          <w:tcPr>
            <w:tcW w:w="2662" w:type="dxa"/>
            <w:tcBorders>
              <w:top w:val="nil"/>
              <w:left w:val="nil"/>
              <w:bottom w:val="nil"/>
              <w:right w:val="nil"/>
            </w:tcBorders>
            <w:tcMar>
              <w:top w:w="0" w:type="dxa"/>
              <w:left w:w="62" w:type="dxa"/>
              <w:bottom w:w="0" w:type="dxa"/>
              <w:right w:w="62" w:type="dxa"/>
            </w:tcMar>
          </w:tcPr>
          <w:p w:rsidR="00000000" w:rsidP="003435EB">
            <w:pPr>
              <w:pStyle w:val="BodyText"/>
              <w:rPr>
                <w:lang w:val="en-NZ"/>
              </w:rPr>
            </w:pPr>
            <w:r w:rsidRPr="003435EB">
              <w:rPr>
                <w:rStyle w:val="SpecialBold"/>
              </w:rPr>
              <w:t>Areas for improvement include one (1) or more of the following:</w:t>
            </w:r>
          </w:p>
        </w:tc>
        <w:tc>
          <w:tcPr>
            <w:tcW w:w="6428" w:type="dxa"/>
            <w:tcBorders>
              <w:top w:val="nil"/>
              <w:left w:val="nil"/>
              <w:bottom w:val="nil"/>
              <w:right w:val="nil"/>
            </w:tcBorders>
            <w:tcMar>
              <w:top w:w="0" w:type="dxa"/>
              <w:left w:w="62" w:type="dxa"/>
              <w:bottom w:w="0" w:type="dxa"/>
              <w:right w:w="62" w:type="dxa"/>
            </w:tcMar>
          </w:tcPr>
          <w:p w:rsidR="00000000" w:rsidRPr="003435EB" w:rsidP="003435EB">
            <w:pPr>
              <w:pStyle w:val="ListBullet"/>
            </w:pPr>
            <w:r w:rsidRPr="003435EB">
              <w:t>conflicting requirements</w:t>
            </w:r>
          </w:p>
          <w:p w:rsidR="00000000" w:rsidRPr="003435EB" w:rsidP="003435EB">
            <w:pPr>
              <w:pStyle w:val="ListBullet"/>
            </w:pPr>
            <w:r w:rsidRPr="003435EB">
              <w:t>inadequate storage facilities</w:t>
            </w:r>
          </w:p>
        </w:tc>
      </w:tr>
    </w:tbl>
    <w:p w:rsidR="00000000" w:rsidRPr="003435EB" w:rsidP="003435EB">
      <w:pPr>
        <w:pStyle w:val="BodyText"/>
      </w:pPr>
    </w:p>
    <w:p w:rsidR="00000000" w:rsidRPr="003435EB" w:rsidP="003435EB">
      <w:pPr>
        <w:pStyle w:val="AllowPageBreak"/>
      </w:pPr>
    </w:p>
    <w:p w:rsidR="00000000" w:rsidRPr="003435EB" w:rsidP="003435EB">
      <w:pPr>
        <w:pStyle w:val="Heading1"/>
      </w:pPr>
      <w:bookmarkStart w:id="8" w:name="O_952168"/>
      <w:bookmarkEnd w:id="8"/>
      <w:r w:rsidRPr="003435EB">
        <w:t>Unit Mapping Information</w:t>
      </w:r>
    </w:p>
    <w:p w:rsidR="00000000" w:rsidRPr="003435EB" w:rsidP="005E11A1">
      <w:pPr>
        <w:pStyle w:val="BodyText"/>
      </w:pPr>
      <w:r w:rsidRPr="003435EB">
        <w:t xml:space="preserve">Release 1. Supersedes and is equivalent to MEM26010A Store and handle composite materials </w:t>
      </w:r>
    </w:p>
    <w:p w:rsidR="00000000" w:rsidRPr="003435EB" w:rsidP="003435EB">
      <w:pPr>
        <w:pStyle w:val="Heading1"/>
      </w:pPr>
      <w:bookmarkStart w:id="9" w:name="O_952161"/>
      <w:bookmarkEnd w:id="9"/>
      <w:r w:rsidRPr="003435EB">
        <w:t>Links</w:t>
      </w:r>
    </w:p>
    <w:p w:rsidR="00000000" w:rsidRPr="003435EB" w:rsidP="005E11A1">
      <w:pPr>
        <w:pStyle w:val="BodyText"/>
      </w:pPr>
      <w:r w:rsidRPr="003435E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D39C0">
        <w:rPr>
          <w:rStyle w:val="Hyperlink"/>
        </w:rPr>
        <w:t>https://vetnet.gov.au/Pages/TrainingDocs.aspx?q=b7050d37-5fd0-4740-8f7d-3b7a49c10bb2</w:t>
      </w:r>
      <w:r>
        <w:fldChar w:fldCharType="end"/>
      </w:r>
    </w:p>
    <w:p w:rsidR="00000000" w:rsidRPr="003435EB" w:rsidP="003435EB"/>
    <w:sectPr w:rsidSect="003435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EB" w:rsidRPr="005E11A1" w:rsidP="005E1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A1" w:rsidP="003435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11A1" w:rsidP="003435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11A1" w:rsidP="003435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5EB" w:rsidRPr="005E11A1" w:rsidP="005E11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5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A1" w:rsidRPr="002D2AF8" w:rsidP="003435EB">
    <w:pPr>
      <w:pStyle w:val="Header"/>
      <w:framePr w:wrap="around"/>
    </w:pPr>
    <w:r>
      <w:fldChar w:fldCharType="begin"/>
    </w:r>
    <w:r>
      <w:instrText xml:space="preserve"> TITLE   \* MERGEFORMAT </w:instrText>
    </w:r>
    <w:r>
      <w:fldChar w:fldCharType="separate"/>
    </w:r>
    <w:r>
      <w:t>MEM26010 Store and handle composite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E11A1" w:rsidP="003435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584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6ECA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769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5EB"/>
    <w:pPr>
      <w:spacing w:before="360" w:after="60"/>
      <w:outlineLvl w:val="0"/>
    </w:pPr>
    <w:rPr>
      <w:sz w:val="32"/>
    </w:rPr>
  </w:style>
  <w:style w:type="paragraph" w:styleId="Heading2">
    <w:name w:val="heading 2"/>
    <w:basedOn w:val="HeadingBase"/>
    <w:next w:val="BodyText"/>
    <w:link w:val="Heading2Char"/>
    <w:qFormat/>
    <w:rsid w:val="003435EB"/>
    <w:pPr>
      <w:keepLines/>
      <w:spacing w:before="240" w:after="120"/>
      <w:outlineLvl w:val="1"/>
    </w:pPr>
    <w:rPr>
      <w:sz w:val="28"/>
      <w:szCs w:val="40"/>
    </w:rPr>
  </w:style>
  <w:style w:type="paragraph" w:styleId="Heading3">
    <w:name w:val="heading 3"/>
    <w:basedOn w:val="HeadingBase"/>
    <w:next w:val="BodyText"/>
    <w:link w:val="Heading3Char"/>
    <w:qFormat/>
    <w:rsid w:val="003435EB"/>
    <w:pPr>
      <w:spacing w:before="180" w:after="120"/>
      <w:outlineLvl w:val="2"/>
    </w:pPr>
    <w:rPr>
      <w:spacing w:val="-10"/>
      <w:kern w:val="32"/>
    </w:rPr>
  </w:style>
  <w:style w:type="paragraph" w:styleId="Heading4">
    <w:name w:val="heading 4"/>
    <w:basedOn w:val="HeadingBase"/>
    <w:next w:val="BodyText"/>
    <w:link w:val="Heading4Char"/>
    <w:qFormat/>
    <w:rsid w:val="003435EB"/>
    <w:pPr>
      <w:spacing w:before="160" w:after="120"/>
      <w:outlineLvl w:val="3"/>
    </w:pPr>
    <w:rPr>
      <w:sz w:val="22"/>
    </w:rPr>
  </w:style>
  <w:style w:type="paragraph" w:styleId="Heading5">
    <w:name w:val="heading 5"/>
    <w:basedOn w:val="HeadingBase"/>
    <w:next w:val="Normal"/>
    <w:link w:val="Heading5Char"/>
    <w:qFormat/>
    <w:rsid w:val="003435EB"/>
    <w:pPr>
      <w:spacing w:before="80"/>
      <w:outlineLvl w:val="4"/>
    </w:pPr>
    <w:rPr>
      <w:color w:val="918585"/>
      <w:sz w:val="20"/>
    </w:rPr>
  </w:style>
  <w:style w:type="paragraph" w:styleId="Heading6">
    <w:name w:val="heading 6"/>
    <w:basedOn w:val="HeadingBase"/>
    <w:next w:val="Normal"/>
    <w:link w:val="Heading6Char"/>
    <w:qFormat/>
    <w:rsid w:val="003435EB"/>
    <w:pPr>
      <w:spacing w:before="60"/>
      <w:outlineLvl w:val="5"/>
    </w:pPr>
    <w:rPr>
      <w:color w:val="918585"/>
      <w:sz w:val="20"/>
    </w:rPr>
  </w:style>
  <w:style w:type="paragraph" w:styleId="Heading7">
    <w:name w:val="heading 7"/>
    <w:basedOn w:val="Normal"/>
    <w:next w:val="Normal"/>
    <w:link w:val="Heading7Char"/>
    <w:qFormat/>
    <w:rsid w:val="003435EB"/>
    <w:pPr>
      <w:ind w:left="720"/>
      <w:outlineLvl w:val="6"/>
    </w:pPr>
    <w:rPr>
      <w:i/>
    </w:rPr>
  </w:style>
  <w:style w:type="paragraph" w:styleId="Heading8">
    <w:name w:val="heading 8"/>
    <w:basedOn w:val="Normal"/>
    <w:next w:val="Normal"/>
    <w:link w:val="Heading8Char"/>
    <w:qFormat/>
    <w:rsid w:val="003435EB"/>
    <w:pPr>
      <w:ind w:left="720"/>
      <w:outlineLvl w:val="7"/>
    </w:pPr>
    <w:rPr>
      <w:i/>
    </w:rPr>
  </w:style>
  <w:style w:type="paragraph" w:styleId="Heading9">
    <w:name w:val="heading 9"/>
    <w:basedOn w:val="Normal"/>
    <w:next w:val="Normal"/>
    <w:link w:val="Heading9Char"/>
    <w:qFormat/>
    <w:rsid w:val="003435EB"/>
    <w:pPr>
      <w:ind w:left="720"/>
      <w:outlineLvl w:val="8"/>
    </w:pPr>
    <w:rPr>
      <w:i/>
    </w:rPr>
  </w:style>
  <w:style w:type="character" w:default="1" w:styleId="DefaultParagraphFont">
    <w:name w:val="Default Paragraph Font"/>
    <w:uiPriority w:val="1"/>
    <w:unhideWhenUsed/>
    <w:rsid w:val="003435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5EB"/>
  </w:style>
  <w:style w:type="character" w:customStyle="1" w:styleId="Heading1Char">
    <w:name w:val="Heading 1 Char"/>
    <w:basedOn w:val="DefaultParagraphFont"/>
    <w:link w:val="Heading1"/>
    <w:rsid w:val="003435EB"/>
    <w:rPr>
      <w:rFonts w:ascii="Times New Roman" w:eastAsia="Times New Roman" w:hAnsi="Times New Roman" w:cs="Times New Roman"/>
      <w:b/>
      <w:sz w:val="32"/>
      <w:szCs w:val="20"/>
      <w:lang w:eastAsia="en-US"/>
    </w:rPr>
  </w:style>
  <w:style w:type="paragraph" w:styleId="BodyText">
    <w:name w:val="Body Text"/>
    <w:basedOn w:val="Normal"/>
    <w:link w:val="BodyTextChar"/>
    <w:rsid w:val="003435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5EB"/>
    <w:rPr>
      <w:rFonts w:ascii="Times New Roman" w:eastAsia="Times New Roman" w:hAnsi="Times New Roman" w:cs="Times New Roman"/>
      <w:sz w:val="24"/>
      <w:lang w:eastAsia="en-US"/>
    </w:rPr>
  </w:style>
  <w:style w:type="paragraph" w:styleId="ListBullet">
    <w:name w:val="List Bullet"/>
    <w:basedOn w:val="List"/>
    <w:rsid w:val="003435EB"/>
    <w:pPr>
      <w:numPr>
        <w:numId w:val="12"/>
      </w:numPr>
      <w:tabs>
        <w:tab w:val="clear" w:pos="340"/>
      </w:tabs>
      <w:spacing w:before="40" w:after="40"/>
    </w:pPr>
  </w:style>
  <w:style w:type="character" w:customStyle="1" w:styleId="SpecialBold">
    <w:name w:val="Special Bold"/>
    <w:basedOn w:val="DefaultParagraphFont"/>
    <w:rsid w:val="003435EB"/>
    <w:rPr>
      <w:b/>
      <w:spacing w:val="0"/>
    </w:rPr>
  </w:style>
  <w:style w:type="paragraph" w:styleId="ListBullet2">
    <w:name w:val="List Bullet 2"/>
    <w:basedOn w:val="List2"/>
    <w:rsid w:val="003435EB"/>
    <w:pPr>
      <w:numPr>
        <w:numId w:val="13"/>
      </w:numPr>
      <w:tabs>
        <w:tab w:val="clear" w:pos="680"/>
      </w:tabs>
    </w:pPr>
  </w:style>
  <w:style w:type="character" w:styleId="Emphasis">
    <w:name w:val="Emphasis"/>
    <w:basedOn w:val="DefaultParagraphFont"/>
    <w:qFormat/>
    <w:rsid w:val="003435EB"/>
    <w:rPr>
      <w:i/>
    </w:rPr>
  </w:style>
  <w:style w:type="paragraph" w:customStyle="1" w:styleId="SuperHeading">
    <w:name w:val="SuperHeading"/>
    <w:basedOn w:val="Normal"/>
    <w:rsid w:val="003435EB"/>
    <w:pPr>
      <w:spacing w:before="240" w:after="120"/>
      <w:outlineLvl w:val="0"/>
    </w:pPr>
    <w:rPr>
      <w:rFonts w:ascii="Times New Roman" w:hAnsi="Times New Roman"/>
      <w:b/>
      <w:sz w:val="32"/>
    </w:rPr>
  </w:style>
  <w:style w:type="paragraph" w:customStyle="1" w:styleId="AllowPageBreak">
    <w:name w:val="AllowPageBreak"/>
    <w:rsid w:val="003435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5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5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5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5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5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5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5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5EB"/>
    <w:rPr>
      <w:rFonts w:ascii="Courier New" w:eastAsia="Times New Roman" w:hAnsi="Courier New" w:cs="Times New Roman"/>
      <w:i/>
      <w:szCs w:val="20"/>
      <w:lang w:eastAsia="en-US"/>
    </w:rPr>
  </w:style>
  <w:style w:type="paragraph" w:customStyle="1" w:styleId="HeadingBase">
    <w:name w:val="Heading Base"/>
    <w:rsid w:val="003435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5EB"/>
    <w:pPr>
      <w:tabs>
        <w:tab w:val="right" w:leader="dot" w:pos="9072"/>
      </w:tabs>
      <w:ind w:left="567"/>
    </w:pPr>
    <w:rPr>
      <w:szCs w:val="22"/>
    </w:rPr>
  </w:style>
  <w:style w:type="paragraph" w:customStyle="1" w:styleId="TOCBase">
    <w:name w:val="TOC Base"/>
    <w:rsid w:val="003435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5EB"/>
    <w:pPr>
      <w:tabs>
        <w:tab w:val="right" w:leader="dot" w:pos="9072"/>
      </w:tabs>
      <w:spacing w:before="40" w:after="40"/>
      <w:ind w:left="284"/>
    </w:pPr>
    <w:rPr>
      <w:rFonts w:ascii="Times New Roman" w:hAnsi="Times New Roman"/>
    </w:rPr>
  </w:style>
  <w:style w:type="paragraph" w:styleId="TOC1">
    <w:name w:val="toc 1"/>
    <w:basedOn w:val="TOCBase"/>
    <w:next w:val="Normal"/>
    <w:rsid w:val="003435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5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5EB"/>
    <w:rPr>
      <w:rFonts w:ascii="Times New Roman" w:eastAsia="Times New Roman" w:hAnsi="Times New Roman" w:cs="Times New Roman"/>
      <w:sz w:val="16"/>
      <w:lang w:eastAsia="en-US"/>
    </w:rPr>
  </w:style>
  <w:style w:type="paragraph" w:styleId="Title">
    <w:name w:val="Title"/>
    <w:basedOn w:val="HeadingBase"/>
    <w:link w:val="TitleChar"/>
    <w:qFormat/>
    <w:rsid w:val="003435EB"/>
    <w:pPr>
      <w:spacing w:before="5040"/>
      <w:jc w:val="center"/>
    </w:pPr>
    <w:rPr>
      <w:sz w:val="48"/>
      <w:szCs w:val="72"/>
      <w:lang w:val="en-US"/>
    </w:rPr>
  </w:style>
  <w:style w:type="character" w:customStyle="1" w:styleId="TitleChar">
    <w:name w:val="Title Char"/>
    <w:basedOn w:val="DefaultParagraphFont"/>
    <w:link w:val="Title"/>
    <w:rsid w:val="003435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5EB"/>
    <w:pPr>
      <w:tabs>
        <w:tab w:val="left" w:pos="3600"/>
        <w:tab w:val="left" w:pos="3958"/>
      </w:tabs>
    </w:pPr>
  </w:style>
  <w:style w:type="paragraph" w:styleId="List">
    <w:name w:val="List"/>
    <w:basedOn w:val="BodyText"/>
    <w:next w:val="BodyText"/>
    <w:rsid w:val="003435EB"/>
    <w:pPr>
      <w:tabs>
        <w:tab w:val="left" w:pos="340"/>
      </w:tabs>
      <w:spacing w:before="60" w:after="60"/>
      <w:ind w:left="340" w:hanging="340"/>
    </w:pPr>
  </w:style>
  <w:style w:type="paragraph" w:customStyle="1" w:styleId="Note">
    <w:name w:val="Note"/>
    <w:basedOn w:val="BodyText"/>
    <w:rsid w:val="003435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5EB"/>
    <w:pPr>
      <w:framePr w:wrap="auto" w:hAnchor="text" w:y="6049"/>
    </w:pPr>
    <w:rPr>
      <w:color w:val="000000"/>
      <w:sz w:val="40"/>
    </w:rPr>
  </w:style>
  <w:style w:type="paragraph" w:customStyle="1" w:styleId="TOCTitle">
    <w:name w:val="TOCTitle"/>
    <w:basedOn w:val="Heading1"/>
    <w:rsid w:val="003435EB"/>
    <w:pPr>
      <w:spacing w:after="240"/>
      <w:jc w:val="center"/>
      <w:outlineLvl w:val="9"/>
    </w:pPr>
    <w:rPr>
      <w:caps/>
    </w:rPr>
  </w:style>
  <w:style w:type="paragraph" w:customStyle="1" w:styleId="Version">
    <w:name w:val="Version"/>
    <w:rsid w:val="003435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5EB"/>
    <w:pPr>
      <w:keepNext w:val="0"/>
      <w:tabs>
        <w:tab w:val="right" w:pos="4176"/>
      </w:tabs>
      <w:ind w:left="198" w:hanging="198"/>
    </w:pPr>
    <w:rPr>
      <w:rFonts w:ascii="Garamond" w:hAnsi="Garamond"/>
    </w:rPr>
  </w:style>
  <w:style w:type="paragraph" w:styleId="IndexHeading">
    <w:name w:val="index heading"/>
    <w:basedOn w:val="Normal"/>
    <w:next w:val="Index1"/>
    <w:semiHidden/>
    <w:rsid w:val="003435EB"/>
    <w:pPr>
      <w:spacing w:before="120" w:after="120"/>
    </w:pPr>
    <w:rPr>
      <w:rFonts w:ascii="Arial" w:hAnsi="Arial"/>
      <w:b/>
      <w:color w:val="918585"/>
      <w:sz w:val="24"/>
    </w:rPr>
  </w:style>
  <w:style w:type="paragraph" w:styleId="Header">
    <w:name w:val="header"/>
    <w:basedOn w:val="Normal"/>
    <w:link w:val="HeaderChar"/>
    <w:rsid w:val="003435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5EB"/>
    <w:rPr>
      <w:rFonts w:ascii="Times New Roman" w:eastAsia="Times New Roman" w:hAnsi="Times New Roman" w:cs="Times New Roman"/>
      <w:sz w:val="16"/>
      <w:szCs w:val="20"/>
      <w:lang w:val="en-GB" w:eastAsia="en-US"/>
    </w:rPr>
  </w:style>
  <w:style w:type="paragraph" w:customStyle="1" w:styleId="Chapter">
    <w:name w:val="Chapter"/>
    <w:basedOn w:val="Normal"/>
    <w:rsid w:val="003435EB"/>
    <w:pPr>
      <w:spacing w:before="240"/>
    </w:pPr>
    <w:rPr>
      <w:rFonts w:ascii="Times New Roman" w:hAnsi="Times New Roman"/>
      <w:smallCaps/>
      <w:spacing w:val="80"/>
      <w:sz w:val="28"/>
    </w:rPr>
  </w:style>
  <w:style w:type="paragraph" w:customStyle="1" w:styleId="InChapter">
    <w:name w:val="InChapter"/>
    <w:basedOn w:val="Heading3"/>
    <w:rsid w:val="003435EB"/>
    <w:pPr>
      <w:spacing w:after="240"/>
      <w:outlineLvl w:val="9"/>
    </w:pPr>
    <w:rPr>
      <w:noProof/>
    </w:rPr>
  </w:style>
  <w:style w:type="paragraph" w:styleId="Index2">
    <w:name w:val="index 2"/>
    <w:basedOn w:val="Normal"/>
    <w:next w:val="Normal"/>
    <w:semiHidden/>
    <w:rsid w:val="003435EB"/>
    <w:pPr>
      <w:tabs>
        <w:tab w:val="right" w:pos="4176"/>
      </w:tabs>
      <w:ind w:left="568" w:hanging="284"/>
    </w:pPr>
    <w:rPr>
      <w:rFonts w:ascii="Garamond" w:hAnsi="Garamond"/>
    </w:rPr>
  </w:style>
  <w:style w:type="paragraph" w:customStyle="1" w:styleId="Byline">
    <w:name w:val="Byline"/>
    <w:rsid w:val="003435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5EB"/>
    <w:pPr>
      <w:tabs>
        <w:tab w:val="clear" w:pos="3600"/>
        <w:tab w:val="clear" w:pos="3958"/>
      </w:tabs>
      <w:jc w:val="right"/>
    </w:pPr>
  </w:style>
  <w:style w:type="paragraph" w:styleId="Caption">
    <w:name w:val="caption"/>
    <w:basedOn w:val="BodyText"/>
    <w:next w:val="Normal"/>
    <w:qFormat/>
    <w:rsid w:val="003435EB"/>
    <w:pPr>
      <w:framePr w:w="2268" w:hSpace="181" w:vSpace="181" w:wrap="around" w:vAnchor="text" w:hAnchor="page" w:x="1135" w:y="285" w:anchorLock="1"/>
    </w:pPr>
    <w:rPr>
      <w:i/>
    </w:rPr>
  </w:style>
  <w:style w:type="paragraph" w:customStyle="1" w:styleId="MiniTOCTitle">
    <w:name w:val="MiniTOCTitle"/>
    <w:basedOn w:val="Heading4"/>
    <w:rsid w:val="003435EB"/>
    <w:pPr>
      <w:spacing w:before="240"/>
      <w:outlineLvl w:val="9"/>
    </w:pPr>
    <w:rPr>
      <w:noProof/>
      <w:sz w:val="24"/>
    </w:rPr>
  </w:style>
  <w:style w:type="paragraph" w:customStyle="1" w:styleId="MiniTOCItem">
    <w:name w:val="MiniTOCItem"/>
    <w:basedOn w:val="ListBullet"/>
    <w:rsid w:val="003435EB"/>
    <w:pPr>
      <w:numPr>
        <w:numId w:val="0"/>
      </w:numPr>
      <w:tabs>
        <w:tab w:val="right" w:leader="dot" w:pos="6521"/>
      </w:tabs>
      <w:spacing w:before="0" w:after="0"/>
    </w:pPr>
  </w:style>
  <w:style w:type="paragraph" w:customStyle="1" w:styleId="TOFTitle">
    <w:name w:val="TOFTitle"/>
    <w:basedOn w:val="TOCTitle"/>
    <w:rsid w:val="003435EB"/>
  </w:style>
  <w:style w:type="paragraph" w:styleId="TableofFigures">
    <w:name w:val="table of figures"/>
    <w:basedOn w:val="Normal"/>
    <w:next w:val="Normal"/>
    <w:semiHidden/>
    <w:rsid w:val="003435EB"/>
    <w:pPr>
      <w:tabs>
        <w:tab w:val="right" w:leader="dot" w:pos="9072"/>
      </w:tabs>
      <w:ind w:left="970" w:hanging="403"/>
    </w:pPr>
    <w:rPr>
      <w:rFonts w:ascii="Times New Roman" w:hAnsi="Times New Roman"/>
      <w:b/>
    </w:rPr>
  </w:style>
  <w:style w:type="paragraph" w:styleId="ListNumber">
    <w:name w:val="List Number"/>
    <w:basedOn w:val="List"/>
    <w:rsid w:val="003435EB"/>
    <w:pPr>
      <w:numPr>
        <w:numId w:val="15"/>
      </w:numPr>
      <w:tabs>
        <w:tab w:val="clear" w:pos="340"/>
      </w:tabs>
    </w:pPr>
  </w:style>
  <w:style w:type="character" w:customStyle="1" w:styleId="WingdingSymbols">
    <w:name w:val="Wingding Symbols"/>
    <w:rsid w:val="003435EB"/>
    <w:rPr>
      <w:rFonts w:ascii="Wingdings" w:hAnsi="Wingdings"/>
    </w:rPr>
  </w:style>
  <w:style w:type="paragraph" w:customStyle="1" w:styleId="TableHeading">
    <w:name w:val="Table Heading"/>
    <w:basedOn w:val="HeadingBase"/>
    <w:rsid w:val="003435EB"/>
    <w:pPr>
      <w:keepLines/>
      <w:pBdr>
        <w:bottom w:val="single" w:sz="6" w:space="1" w:color="918585"/>
      </w:pBdr>
      <w:spacing w:before="240"/>
    </w:pPr>
  </w:style>
  <w:style w:type="character" w:customStyle="1" w:styleId="HotSpot">
    <w:name w:val="HotSpot"/>
    <w:rsid w:val="003435EB"/>
    <w:rPr>
      <w:color w:val="0033CC"/>
      <w:u w:val="none"/>
    </w:rPr>
  </w:style>
  <w:style w:type="paragraph" w:customStyle="1" w:styleId="BodyTextRight">
    <w:name w:val="Body Text Right"/>
    <w:basedOn w:val="BodyText"/>
    <w:rsid w:val="003435EB"/>
    <w:pPr>
      <w:spacing w:before="0" w:after="0"/>
      <w:jc w:val="right"/>
    </w:pPr>
  </w:style>
  <w:style w:type="paragraph" w:styleId="Index3">
    <w:name w:val="index 3"/>
    <w:basedOn w:val="ListNumber2"/>
    <w:next w:val="Normal"/>
    <w:semiHidden/>
    <w:rsid w:val="003435EB"/>
    <w:pPr>
      <w:numPr>
        <w:numId w:val="0"/>
      </w:numPr>
      <w:tabs>
        <w:tab w:val="right" w:leader="dot" w:pos="4176"/>
      </w:tabs>
    </w:pPr>
  </w:style>
  <w:style w:type="paragraph" w:styleId="ListNumber2">
    <w:name w:val="List Number 2"/>
    <w:basedOn w:val="List2"/>
    <w:rsid w:val="003435EB"/>
    <w:pPr>
      <w:numPr>
        <w:numId w:val="10"/>
      </w:numPr>
      <w:tabs>
        <w:tab w:val="clear" w:pos="1060"/>
      </w:tabs>
    </w:pPr>
  </w:style>
  <w:style w:type="paragraph" w:customStyle="1" w:styleId="MarginNote">
    <w:name w:val="Margin Note"/>
    <w:basedOn w:val="BodyText"/>
    <w:rsid w:val="003435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5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5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5EB"/>
    <w:rPr>
      <w:sz w:val="32"/>
    </w:rPr>
  </w:style>
  <w:style w:type="paragraph" w:customStyle="1" w:styleId="HeadingProcedure">
    <w:name w:val="Heading Procedure"/>
    <w:basedOn w:val="HeadingBase"/>
    <w:next w:val="Normal"/>
    <w:rsid w:val="003435EB"/>
    <w:pPr>
      <w:tabs>
        <w:tab w:val="left" w:pos="0"/>
      </w:tabs>
      <w:spacing w:before="120" w:after="60"/>
    </w:pPr>
    <w:rPr>
      <w:i/>
      <w:color w:val="918585"/>
      <w:sz w:val="22"/>
    </w:rPr>
  </w:style>
  <w:style w:type="paragraph" w:customStyle="1" w:styleId="TableBodyText">
    <w:name w:val="Table Body Text"/>
    <w:basedOn w:val="BodyText"/>
    <w:rsid w:val="003435EB"/>
    <w:pPr>
      <w:spacing w:before="60" w:after="60"/>
    </w:pPr>
  </w:style>
  <w:style w:type="paragraph" w:styleId="ListContinue">
    <w:name w:val="List Continue"/>
    <w:basedOn w:val="List"/>
    <w:rsid w:val="003435EB"/>
    <w:pPr>
      <w:ind w:firstLine="0"/>
    </w:pPr>
  </w:style>
  <w:style w:type="paragraph" w:customStyle="1" w:styleId="ListNote">
    <w:name w:val="List Note"/>
    <w:basedOn w:val="List"/>
    <w:rsid w:val="003435EB"/>
    <w:pPr>
      <w:pBdr>
        <w:top w:val="single" w:sz="6" w:space="2" w:color="918585"/>
        <w:bottom w:val="single" w:sz="6" w:space="2" w:color="918585"/>
      </w:pBdr>
      <w:tabs>
        <w:tab w:val="left" w:pos="1021"/>
      </w:tabs>
      <w:ind w:firstLine="0"/>
    </w:pPr>
  </w:style>
  <w:style w:type="paragraph" w:customStyle="1" w:styleId="Warning">
    <w:name w:val="Warning"/>
    <w:basedOn w:val="BodyText"/>
    <w:rsid w:val="003435EB"/>
    <w:pPr>
      <w:shd w:val="clear" w:color="auto" w:fill="D9D9D9"/>
      <w:tabs>
        <w:tab w:val="left" w:pos="992"/>
      </w:tabs>
      <w:ind w:left="119" w:right="119"/>
    </w:pPr>
    <w:rPr>
      <w:sz w:val="20"/>
    </w:rPr>
  </w:style>
  <w:style w:type="paragraph" w:customStyle="1" w:styleId="MarginIcons">
    <w:name w:val="Margin Icons"/>
    <w:basedOn w:val="BodyText"/>
    <w:rsid w:val="003435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5EB"/>
    <w:rPr>
      <w:rFonts w:ascii="Courier New" w:hAnsi="Courier New"/>
    </w:rPr>
  </w:style>
  <w:style w:type="paragraph" w:customStyle="1" w:styleId="NoteBullet">
    <w:name w:val="Note Bullet"/>
    <w:basedOn w:val="Note"/>
    <w:rsid w:val="003435EB"/>
    <w:pPr>
      <w:tabs>
        <w:tab w:val="clear" w:pos="680"/>
      </w:tabs>
      <w:spacing w:before="60" w:after="60"/>
    </w:pPr>
  </w:style>
  <w:style w:type="paragraph" w:customStyle="1" w:styleId="SubHeading2">
    <w:name w:val="SubHeading2"/>
    <w:basedOn w:val="HeadingBase"/>
    <w:rsid w:val="003435EB"/>
    <w:pPr>
      <w:spacing w:before="240" w:after="60"/>
    </w:pPr>
    <w:rPr>
      <w:sz w:val="20"/>
    </w:rPr>
  </w:style>
  <w:style w:type="paragraph" w:customStyle="1" w:styleId="SubHeading1">
    <w:name w:val="SubHeading1"/>
    <w:basedOn w:val="HeadingBase"/>
    <w:rsid w:val="003435EB"/>
    <w:pPr>
      <w:spacing w:before="240" w:after="60"/>
    </w:pPr>
    <w:rPr>
      <w:color w:val="918585"/>
      <w:sz w:val="22"/>
    </w:rPr>
  </w:style>
  <w:style w:type="paragraph" w:customStyle="1" w:styleId="SideHeading">
    <w:name w:val="Side Heading"/>
    <w:basedOn w:val="HeadingBase"/>
    <w:rsid w:val="003435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5EB"/>
    <w:pPr>
      <w:tabs>
        <w:tab w:val="num" w:pos="360"/>
      </w:tabs>
    </w:pPr>
  </w:style>
  <w:style w:type="paragraph" w:styleId="PlainText">
    <w:name w:val="Plain Text"/>
    <w:basedOn w:val="Normal"/>
    <w:link w:val="PlainTextChar"/>
    <w:rsid w:val="003435EB"/>
    <w:rPr>
      <w:sz w:val="20"/>
    </w:rPr>
  </w:style>
  <w:style w:type="character" w:customStyle="1" w:styleId="PlainTextChar">
    <w:name w:val="Plain Text Char"/>
    <w:basedOn w:val="DefaultParagraphFont"/>
    <w:link w:val="PlainText"/>
    <w:rsid w:val="003435EB"/>
    <w:rPr>
      <w:rFonts w:ascii="Courier New" w:eastAsia="Times New Roman" w:hAnsi="Courier New" w:cs="Times New Roman"/>
      <w:sz w:val="20"/>
      <w:szCs w:val="20"/>
      <w:lang w:eastAsia="en-US"/>
    </w:rPr>
  </w:style>
  <w:style w:type="character" w:customStyle="1" w:styleId="MenuOption">
    <w:name w:val="Menu Option"/>
    <w:basedOn w:val="DefaultParagraphFont"/>
    <w:rsid w:val="003435EB"/>
    <w:rPr>
      <w:b/>
      <w:smallCaps/>
    </w:rPr>
  </w:style>
  <w:style w:type="paragraph" w:customStyle="1" w:styleId="TableListNumber">
    <w:name w:val="Table List Number"/>
    <w:basedOn w:val="ListNumber"/>
    <w:rsid w:val="003435EB"/>
    <w:pPr>
      <w:numPr>
        <w:numId w:val="0"/>
      </w:numPr>
    </w:pPr>
  </w:style>
  <w:style w:type="paragraph" w:styleId="TOC4">
    <w:name w:val="toc 4"/>
    <w:basedOn w:val="TOCBase"/>
    <w:next w:val="Normal"/>
    <w:semiHidden/>
    <w:rsid w:val="003435EB"/>
    <w:pPr>
      <w:tabs>
        <w:tab w:val="right" w:leader="dot" w:pos="9071"/>
      </w:tabs>
      <w:ind w:left="1701"/>
    </w:pPr>
  </w:style>
  <w:style w:type="paragraph" w:customStyle="1" w:styleId="ListAlpha">
    <w:name w:val="List Alpha"/>
    <w:basedOn w:val="List"/>
    <w:rsid w:val="003435EB"/>
    <w:pPr>
      <w:numPr>
        <w:numId w:val="9"/>
      </w:numPr>
    </w:pPr>
  </w:style>
  <w:style w:type="paragraph" w:customStyle="1" w:styleId="ListAlpha2">
    <w:name w:val="List Alpha 2"/>
    <w:basedOn w:val="List2"/>
    <w:rsid w:val="003435EB"/>
    <w:pPr>
      <w:numPr>
        <w:numId w:val="8"/>
      </w:numPr>
    </w:pPr>
  </w:style>
  <w:style w:type="paragraph" w:styleId="List2">
    <w:name w:val="List 2"/>
    <w:basedOn w:val="BodyText"/>
    <w:rsid w:val="003435EB"/>
    <w:pPr>
      <w:tabs>
        <w:tab w:val="left" w:pos="680"/>
      </w:tabs>
      <w:spacing w:before="60" w:after="60"/>
      <w:ind w:left="680" w:hanging="340"/>
    </w:pPr>
  </w:style>
  <w:style w:type="paragraph" w:styleId="List3">
    <w:name w:val="List 3"/>
    <w:basedOn w:val="BodyText"/>
    <w:rsid w:val="003435EB"/>
    <w:pPr>
      <w:tabs>
        <w:tab w:val="left" w:pos="1021"/>
      </w:tabs>
      <w:spacing w:before="60" w:after="60"/>
      <w:ind w:left="1020" w:hanging="340"/>
    </w:pPr>
  </w:style>
  <w:style w:type="paragraph" w:styleId="List4">
    <w:name w:val="List 4"/>
    <w:basedOn w:val="BodyText"/>
    <w:rsid w:val="003435EB"/>
    <w:pPr>
      <w:tabs>
        <w:tab w:val="left" w:pos="1361"/>
      </w:tabs>
      <w:spacing w:before="60" w:after="60"/>
      <w:ind w:left="1361" w:hanging="340"/>
    </w:pPr>
  </w:style>
  <w:style w:type="paragraph" w:styleId="List5">
    <w:name w:val="List 5"/>
    <w:basedOn w:val="BodyText"/>
    <w:rsid w:val="003435EB"/>
    <w:pPr>
      <w:tabs>
        <w:tab w:val="left" w:pos="1701"/>
      </w:tabs>
      <w:spacing w:before="60" w:after="60"/>
      <w:ind w:left="1701" w:hanging="340"/>
    </w:pPr>
  </w:style>
  <w:style w:type="paragraph" w:styleId="ListBullet3">
    <w:name w:val="List Bullet 3"/>
    <w:basedOn w:val="List3"/>
    <w:rsid w:val="003435EB"/>
    <w:pPr>
      <w:numPr>
        <w:numId w:val="14"/>
      </w:numPr>
      <w:tabs>
        <w:tab w:val="clear" w:pos="1021"/>
      </w:tabs>
      <w:ind w:left="1037" w:hanging="357"/>
    </w:pPr>
  </w:style>
  <w:style w:type="paragraph" w:styleId="ListBullet4">
    <w:name w:val="List Bullet 4"/>
    <w:basedOn w:val="List4"/>
    <w:rsid w:val="003435EB"/>
    <w:pPr>
      <w:numPr>
        <w:numId w:val="3"/>
      </w:numPr>
      <w:tabs>
        <w:tab w:val="clear" w:pos="1361"/>
      </w:tabs>
    </w:pPr>
  </w:style>
  <w:style w:type="paragraph" w:styleId="ListBullet5">
    <w:name w:val="List Bullet 5"/>
    <w:basedOn w:val="List5"/>
    <w:rsid w:val="003435EB"/>
    <w:pPr>
      <w:numPr>
        <w:numId w:val="4"/>
      </w:numPr>
    </w:pPr>
  </w:style>
  <w:style w:type="paragraph" w:styleId="ListContinue2">
    <w:name w:val="List Continue 2"/>
    <w:basedOn w:val="List2"/>
    <w:rsid w:val="003435EB"/>
    <w:pPr>
      <w:ind w:firstLine="0"/>
    </w:pPr>
  </w:style>
  <w:style w:type="paragraph" w:styleId="ListContinue3">
    <w:name w:val="List Continue 3"/>
    <w:basedOn w:val="List3"/>
    <w:rsid w:val="003435EB"/>
    <w:pPr>
      <w:ind w:left="1021" w:firstLine="0"/>
    </w:pPr>
  </w:style>
  <w:style w:type="paragraph" w:styleId="ListContinue4">
    <w:name w:val="List Continue 4"/>
    <w:basedOn w:val="List4"/>
    <w:rsid w:val="003435EB"/>
    <w:pPr>
      <w:ind w:firstLine="0"/>
    </w:pPr>
  </w:style>
  <w:style w:type="paragraph" w:styleId="ListContinue5">
    <w:name w:val="List Continue 5"/>
    <w:basedOn w:val="List5"/>
    <w:rsid w:val="003435EB"/>
    <w:pPr>
      <w:ind w:firstLine="0"/>
    </w:pPr>
  </w:style>
  <w:style w:type="paragraph" w:styleId="ListNumber3">
    <w:name w:val="List Number 3"/>
    <w:basedOn w:val="List3"/>
    <w:rsid w:val="003435EB"/>
    <w:pPr>
      <w:numPr>
        <w:numId w:val="5"/>
      </w:numPr>
    </w:pPr>
  </w:style>
  <w:style w:type="paragraph" w:styleId="ListNumber4">
    <w:name w:val="List Number 4"/>
    <w:basedOn w:val="List4"/>
    <w:rsid w:val="003435EB"/>
    <w:pPr>
      <w:numPr>
        <w:numId w:val="6"/>
      </w:numPr>
    </w:pPr>
  </w:style>
  <w:style w:type="paragraph" w:styleId="ListNumber5">
    <w:name w:val="List Number 5"/>
    <w:basedOn w:val="List5"/>
    <w:rsid w:val="003435EB"/>
    <w:pPr>
      <w:numPr>
        <w:numId w:val="7"/>
      </w:numPr>
    </w:pPr>
  </w:style>
  <w:style w:type="paragraph" w:styleId="BlockText">
    <w:name w:val="Block Text"/>
    <w:basedOn w:val="Normal"/>
    <w:rsid w:val="003435EB"/>
    <w:pPr>
      <w:spacing w:after="120"/>
      <w:ind w:left="1440" w:right="1440"/>
    </w:pPr>
  </w:style>
  <w:style w:type="character" w:customStyle="1" w:styleId="Subscript">
    <w:name w:val="Subscript"/>
    <w:basedOn w:val="DefaultParagraphFont"/>
    <w:rsid w:val="003435EB"/>
    <w:rPr>
      <w:sz w:val="16"/>
      <w:vertAlign w:val="subscript"/>
    </w:rPr>
  </w:style>
  <w:style w:type="character" w:customStyle="1" w:styleId="Superscript">
    <w:name w:val="Superscript"/>
    <w:basedOn w:val="DefaultParagraphFont"/>
    <w:rsid w:val="003435EB"/>
    <w:rPr>
      <w:sz w:val="16"/>
      <w:vertAlign w:val="superscript"/>
    </w:rPr>
  </w:style>
  <w:style w:type="character" w:customStyle="1" w:styleId="Symbols">
    <w:name w:val="Symbols"/>
    <w:basedOn w:val="DefaultParagraphFont"/>
    <w:rsid w:val="003435EB"/>
    <w:rPr>
      <w:rFonts w:ascii="Symbol" w:hAnsi="Symbol"/>
    </w:rPr>
  </w:style>
  <w:style w:type="character" w:customStyle="1" w:styleId="MenuOptions">
    <w:name w:val="Menu Options"/>
    <w:basedOn w:val="DefaultParagraphFont"/>
    <w:rsid w:val="003435EB"/>
    <w:rPr>
      <w:rFonts w:ascii="Arial Narrow" w:hAnsi="Arial Narrow"/>
      <w:smallCaps/>
    </w:rPr>
  </w:style>
  <w:style w:type="character" w:customStyle="1" w:styleId="Buttons">
    <w:name w:val="Buttons"/>
    <w:basedOn w:val="DefaultParagraphFont"/>
    <w:rsid w:val="003435EB"/>
    <w:rPr>
      <w:b/>
    </w:rPr>
  </w:style>
  <w:style w:type="character" w:customStyle="1" w:styleId="Underlined">
    <w:name w:val="Underlined"/>
    <w:basedOn w:val="DefaultParagraphFont"/>
    <w:rsid w:val="003435EB"/>
    <w:rPr>
      <w:u w:val="single"/>
    </w:rPr>
  </w:style>
  <w:style w:type="paragraph" w:customStyle="1" w:styleId="TableBodyTextRight">
    <w:name w:val="Table Body Text Right"/>
    <w:basedOn w:val="TableBodyText"/>
    <w:rsid w:val="003435EB"/>
    <w:pPr>
      <w:widowControl w:val="0"/>
      <w:autoSpaceDE w:val="0"/>
      <w:autoSpaceDN w:val="0"/>
      <w:adjustRightInd w:val="0"/>
      <w:jc w:val="right"/>
    </w:pPr>
    <w:rPr>
      <w:rFonts w:cs="Arial"/>
      <w:szCs w:val="18"/>
    </w:rPr>
  </w:style>
  <w:style w:type="paragraph" w:customStyle="1" w:styleId="CopyrightText">
    <w:name w:val="Copyright Text"/>
    <w:basedOn w:val="BodyText"/>
    <w:rsid w:val="003435EB"/>
    <w:rPr>
      <w:sz w:val="18"/>
    </w:rPr>
  </w:style>
  <w:style w:type="paragraph" w:customStyle="1" w:styleId="BodySmallRight">
    <w:name w:val="Body Small Right"/>
    <w:basedOn w:val="BodyTextRight"/>
    <w:rsid w:val="003435EB"/>
    <w:rPr>
      <w:sz w:val="18"/>
      <w:szCs w:val="18"/>
    </w:rPr>
  </w:style>
  <w:style w:type="paragraph" w:customStyle="1" w:styleId="MarginEdition">
    <w:name w:val="Margin Edition"/>
    <w:basedOn w:val="MarginNote"/>
    <w:rsid w:val="003435EB"/>
    <w:pPr>
      <w:spacing w:before="0" w:after="0"/>
    </w:pPr>
    <w:rPr>
      <w:rFonts w:ascii="Times New Roman" w:hAnsi="Times New Roman"/>
      <w:color w:val="999999"/>
    </w:rPr>
  </w:style>
  <w:style w:type="paragraph" w:customStyle="1" w:styleId="Spacer">
    <w:name w:val="Spacer"/>
    <w:basedOn w:val="Normal"/>
    <w:rsid w:val="003435EB"/>
    <w:rPr>
      <w:sz w:val="2"/>
      <w:szCs w:val="2"/>
    </w:rPr>
  </w:style>
  <w:style w:type="character" w:customStyle="1" w:styleId="Small">
    <w:name w:val="Small"/>
    <w:basedOn w:val="DefaultParagraphFont"/>
    <w:rsid w:val="003435EB"/>
    <w:rPr>
      <w:sz w:val="16"/>
    </w:rPr>
  </w:style>
  <w:style w:type="paragraph" w:customStyle="1" w:styleId="WideTable">
    <w:name w:val="Wide Table"/>
    <w:basedOn w:val="Normal"/>
    <w:rsid w:val="003435EB"/>
    <w:pPr>
      <w:ind w:left="-1418"/>
    </w:pPr>
    <w:rPr>
      <w:sz w:val="2"/>
      <w:szCs w:val="2"/>
    </w:rPr>
  </w:style>
  <w:style w:type="character" w:styleId="PageNumber">
    <w:name w:val="page number"/>
    <w:basedOn w:val="DefaultParagraphFont"/>
    <w:rsid w:val="003435EB"/>
  </w:style>
  <w:style w:type="paragraph" w:styleId="Quote">
    <w:name w:val="Quote"/>
    <w:basedOn w:val="Heading1"/>
    <w:link w:val="QuoteChar"/>
    <w:qFormat/>
    <w:rsid w:val="003435EB"/>
    <w:rPr>
      <w:b w:val="0"/>
      <w:sz w:val="72"/>
      <w:szCs w:val="72"/>
      <w:lang w:val="en-NZ"/>
    </w:rPr>
  </w:style>
  <w:style w:type="character" w:customStyle="1" w:styleId="QuoteChar">
    <w:name w:val="Quote Char"/>
    <w:basedOn w:val="DefaultParagraphFont"/>
    <w:link w:val="Quote"/>
    <w:rsid w:val="003435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5EB"/>
    <w:pPr>
      <w:pageBreakBefore/>
    </w:pPr>
  </w:style>
  <w:style w:type="paragraph" w:customStyle="1" w:styleId="Border">
    <w:name w:val="Border"/>
    <w:basedOn w:val="Normal"/>
    <w:qFormat/>
    <w:rsid w:val="003435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5EB"/>
    <w:rPr>
      <w:b/>
      <w:bCs/>
      <w:i/>
      <w:iCs/>
      <w:color w:val="auto"/>
    </w:rPr>
  </w:style>
  <w:style w:type="paragraph" w:styleId="IntenseQuote">
    <w:name w:val="Intense Quote"/>
    <w:basedOn w:val="Normal"/>
    <w:next w:val="Normal"/>
    <w:link w:val="IntenseQuoteChar"/>
    <w:uiPriority w:val="30"/>
    <w:qFormat/>
    <w:rsid w:val="003435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5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5EB"/>
    <w:rPr>
      <w:smallCaps/>
      <w:color w:val="auto"/>
      <w:u w:val="single"/>
    </w:rPr>
  </w:style>
  <w:style w:type="character" w:styleId="IntenseReference">
    <w:name w:val="Intense Reference"/>
    <w:basedOn w:val="DefaultParagraphFont"/>
    <w:uiPriority w:val="32"/>
    <w:qFormat/>
    <w:rsid w:val="003435EB"/>
    <w:rPr>
      <w:b/>
      <w:bCs/>
      <w:smallCaps/>
      <w:color w:val="auto"/>
      <w:spacing w:val="5"/>
      <w:u w:val="single"/>
    </w:rPr>
  </w:style>
  <w:style w:type="paragraph" w:customStyle="1" w:styleId="2ColumnHeading">
    <w:name w:val="2Column Heading"/>
    <w:basedOn w:val="BodyText"/>
    <w:qFormat/>
    <w:rsid w:val="003435EB"/>
    <w:pPr>
      <w:spacing w:after="60"/>
      <w:ind w:left="-2268"/>
    </w:pPr>
    <w:rPr>
      <w:b/>
    </w:rPr>
  </w:style>
  <w:style w:type="paragraph" w:customStyle="1" w:styleId="Heading1TOC">
    <w:name w:val="Heading1 TOC"/>
    <w:basedOn w:val="Normal"/>
    <w:qFormat/>
    <w:rsid w:val="003435EB"/>
    <w:pPr>
      <w:spacing w:before="240" w:after="120"/>
    </w:pPr>
    <w:rPr>
      <w:rFonts w:ascii="Times New Roman" w:hAnsi="Times New Roman"/>
      <w:b/>
      <w:sz w:val="32"/>
    </w:rPr>
  </w:style>
  <w:style w:type="paragraph" w:customStyle="1" w:styleId="Heading2TOC">
    <w:name w:val="Heading2 TOC"/>
    <w:basedOn w:val="Normal"/>
    <w:qFormat/>
    <w:rsid w:val="003435EB"/>
    <w:pPr>
      <w:spacing w:before="240" w:after="60"/>
    </w:pPr>
    <w:rPr>
      <w:rFonts w:ascii="Times New Roman" w:hAnsi="Times New Roman"/>
      <w:b/>
      <w:sz w:val="28"/>
    </w:rPr>
  </w:style>
  <w:style w:type="character" w:customStyle="1" w:styleId="Underline">
    <w:name w:val="Underline"/>
    <w:basedOn w:val="DefaultParagraphFont"/>
    <w:qFormat/>
    <w:rsid w:val="003435EB"/>
    <w:rPr>
      <w:u w:val="single"/>
    </w:rPr>
  </w:style>
  <w:style w:type="character" w:customStyle="1" w:styleId="BoldandItalics">
    <w:name w:val="Bold and Italics"/>
    <w:qFormat/>
    <w:rsid w:val="003435EB"/>
    <w:rPr>
      <w:b/>
      <w:i/>
      <w:u w:val="none"/>
    </w:rPr>
  </w:style>
  <w:style w:type="paragraph" w:styleId="BalloonText">
    <w:name w:val="Balloon Text"/>
    <w:basedOn w:val="Normal"/>
    <w:link w:val="BalloonTextChar"/>
    <w:rsid w:val="003435EB"/>
    <w:rPr>
      <w:rFonts w:ascii="Tahoma" w:hAnsi="Tahoma" w:cs="Tahoma"/>
      <w:sz w:val="16"/>
      <w:szCs w:val="16"/>
    </w:rPr>
  </w:style>
  <w:style w:type="character" w:customStyle="1" w:styleId="BalloonTextChar">
    <w:name w:val="Balloon Text Char"/>
    <w:basedOn w:val="DefaultParagraphFont"/>
    <w:link w:val="BalloonText"/>
    <w:rsid w:val="003435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5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5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5EB"/>
    <w:rPr>
      <w:b/>
      <w:color w:val="660033"/>
      <w:spacing w:val="0"/>
    </w:rPr>
  </w:style>
  <w:style w:type="paragraph" w:customStyle="1" w:styleId="Nameditemlist">
    <w:name w:val="Named item list"/>
    <w:basedOn w:val="BodyText"/>
    <w:qFormat/>
    <w:rsid w:val="003435EB"/>
    <w:pPr>
      <w:tabs>
        <w:tab w:val="left" w:pos="2835"/>
      </w:tabs>
      <w:ind w:left="2835" w:hanging="2835"/>
    </w:pPr>
  </w:style>
  <w:style w:type="paragraph" w:customStyle="1" w:styleId="BodyTextnopadding">
    <w:name w:val="Body Text no padding"/>
    <w:basedOn w:val="BodyText"/>
    <w:qFormat/>
    <w:rsid w:val="003435EB"/>
    <w:pPr>
      <w:spacing w:before="0" w:after="0"/>
    </w:pPr>
  </w:style>
  <w:style w:type="paragraph" w:customStyle="1" w:styleId="BodyTextBold">
    <w:name w:val="Body Text Bold"/>
    <w:basedOn w:val="BodyText"/>
    <w:qFormat/>
    <w:rsid w:val="003435EB"/>
    <w:rPr>
      <w:b/>
    </w:rPr>
  </w:style>
  <w:style w:type="character" w:styleId="Hyperlink">
    <w:name w:val="Hyperlink"/>
    <w:basedOn w:val="DefaultParagraphFont"/>
    <w:uiPriority w:val="99"/>
    <w:unhideWhenUsed/>
    <w:rsid w:val="005E11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4008</Characters>
  <Application>Microsoft Office Word</Application>
  <DocSecurity>0</DocSecurity>
  <Lines>235</Lines>
  <Paragraphs>140</Paragraphs>
  <ScaleCrop>false</ScaleCrop>
  <Company>Author-it Software Corporation Ltd.</Company>
  <LinksUpToDate>false</LinksUpToDate>
  <CharactersWithSpaces>4482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MEM26010 Store and handle composite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2023-02-03T07:00:00Z</dcterms:created>
  <dcterms:modified xsi:type="dcterms:W3CDTF">2023-02-03T07:00:00Z</dcterms:modified>
</cp:coreProperties>
</file>