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3F1" w:rsidP="00071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MEM26010 Store and handle composite materials</w:t>
      </w:r>
      <w:r>
        <w:fldChar w:fldCharType="end"/>
      </w:r>
    </w:p>
    <w:p w:rsidR="000713F1" w:rsidP="000713F1">
      <w:pPr>
        <w:pStyle w:val="Version"/>
        <w:sectPr w:rsidSect="00F02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763" w:rsidP="00F02763">
      <w:pPr>
        <w:pStyle w:val="SuperHeading"/>
      </w:pPr>
      <w:r w:rsidRPr="00F02763">
        <w:t>Assessment Requirements for MEM26010 Store and handle composite materials</w:t>
      </w:r>
    </w:p>
    <w:p w:rsidR="00000000" w:rsidRPr="00F02763" w:rsidP="00F02763">
      <w:pPr>
        <w:pStyle w:val="Heading1"/>
      </w:pPr>
      <w:bookmarkStart w:id="1" w:name="O_952163"/>
      <w:bookmarkEnd w:id="1"/>
      <w:r w:rsidRPr="00F02763">
        <w:t>Modification History</w:t>
      </w:r>
    </w:p>
    <w:p w:rsidR="00000000" w:rsidRPr="00F02763" w:rsidP="000713F1">
      <w:pPr>
        <w:pStyle w:val="BodyText"/>
      </w:pPr>
      <w:r w:rsidRPr="00F02763">
        <w:t xml:space="preserve">Release 1. Supersedes and is equivalent to MEM26010A Store and handle composite materials </w:t>
      </w:r>
    </w:p>
    <w:p w:rsidR="00000000" w:rsidRPr="00F02763" w:rsidP="00F02763">
      <w:pPr>
        <w:pStyle w:val="Heading1"/>
      </w:pPr>
      <w:bookmarkStart w:id="2" w:name="O_952166"/>
      <w:bookmarkEnd w:id="2"/>
      <w:r w:rsidRPr="00F02763">
        <w:t>Performance Evidence</w:t>
      </w:r>
    </w:p>
    <w:p w:rsidR="00000000" w:rsidRPr="00F02763" w:rsidP="000713F1">
      <w:pPr>
        <w:pStyle w:val="BodyText"/>
      </w:pPr>
      <w:r w:rsidRPr="00F02763">
        <w:t>Evidence required to demonstrate competence in this unit must be relevant to and satisfy the requirements of the elements and performance criteria on at least two (2) occasions and include:</w:t>
      </w:r>
    </w:p>
    <w:p w:rsidR="00000000" w:rsidRPr="00F02763" w:rsidP="00F02763">
      <w:pPr>
        <w:pStyle w:val="ListBullet"/>
      </w:pPr>
      <w:r w:rsidRPr="00F02763">
        <w:t>following work instructions, standard operating procedures (SOPs)</w:t>
      </w:r>
      <w:r w:rsidRPr="00F02763">
        <w:t xml:space="preserve"> and safe work practices </w:t>
      </w:r>
    </w:p>
    <w:p w:rsidR="00000000" w:rsidRPr="00F02763" w:rsidP="00F02763">
      <w:pPr>
        <w:pStyle w:val="ListBullet"/>
      </w:pPr>
      <w:r w:rsidRPr="00F02763">
        <w:t>identifying and interpreting safety data sheets (SDS), formulas/recipes, batch sheets for storing and handling composite materials</w:t>
      </w:r>
    </w:p>
    <w:p w:rsidR="00000000" w:rsidRPr="00F02763" w:rsidP="00F02763">
      <w:pPr>
        <w:pStyle w:val="ListBullet"/>
      </w:pPr>
      <w:r w:rsidRPr="00F02763">
        <w:t xml:space="preserve">listing all materials on site </w:t>
      </w:r>
    </w:p>
    <w:p w:rsidR="00000000" w:rsidRPr="00F02763" w:rsidP="00F02763">
      <w:pPr>
        <w:pStyle w:val="ListBullet"/>
      </w:pPr>
      <w:r w:rsidRPr="00F02763">
        <w:t xml:space="preserve">identifying all hazards and implementing appropriate hazard control </w:t>
      </w:r>
      <w:r w:rsidRPr="00F02763">
        <w:t xml:space="preserve">measures based on the hierarchy of control </w:t>
      </w:r>
    </w:p>
    <w:p w:rsidR="00000000" w:rsidRPr="00F02763" w:rsidP="00F02763">
      <w:pPr>
        <w:pStyle w:val="ListBullet"/>
      </w:pPr>
      <w:r w:rsidRPr="00F02763">
        <w:t xml:space="preserve">moving materials using appropriate manual handling techniques and mechanical handling devices to appropriate storage site in accordance with procedures </w:t>
      </w:r>
    </w:p>
    <w:p w:rsidR="00000000" w:rsidRPr="00F02763" w:rsidP="00F02763">
      <w:pPr>
        <w:pStyle w:val="ListBullet"/>
      </w:pPr>
      <w:r w:rsidRPr="00F02763">
        <w:t>completing all documentation and reports, including items r</w:t>
      </w:r>
      <w:r w:rsidRPr="00F02763">
        <w:t>equiring further action, in accordance with SOPs.</w:t>
      </w:r>
    </w:p>
    <w:p w:rsidR="00000000" w:rsidRPr="00F02763" w:rsidP="00F02763">
      <w:pPr>
        <w:pStyle w:val="AllowPageBreak"/>
      </w:pPr>
    </w:p>
    <w:p w:rsidR="00000000" w:rsidRPr="00F02763" w:rsidP="00F02763">
      <w:pPr>
        <w:pStyle w:val="Heading1"/>
      </w:pPr>
      <w:bookmarkStart w:id="3" w:name="O_952165"/>
      <w:bookmarkEnd w:id="3"/>
      <w:r w:rsidRPr="00F02763">
        <w:t>Knowledge Evidence</w:t>
      </w:r>
    </w:p>
    <w:p w:rsidR="00000000" w:rsidRPr="00F02763" w:rsidP="000713F1">
      <w:pPr>
        <w:pStyle w:val="BodyText"/>
      </w:pPr>
      <w:r w:rsidRPr="00F02763">
        <w:t>Evidence required to demonstrate the required knowledge for this unit must be relevant to and satisfy the requirements of the elements and performance criteria and includ</w:t>
      </w:r>
      <w:r w:rsidRPr="00F02763">
        <w:t>e knowledge of:</w:t>
      </w:r>
    </w:p>
    <w:p w:rsidR="00000000" w:rsidRPr="00F02763" w:rsidP="00F02763">
      <w:pPr>
        <w:pStyle w:val="ListBullet"/>
      </w:pPr>
      <w:r w:rsidRPr="00F02763">
        <w:t>safe work practices and procedures and use of personal protective equipment (PPE)</w:t>
      </w:r>
    </w:p>
    <w:p w:rsidR="00000000" w:rsidRPr="00F02763" w:rsidP="00F02763">
      <w:pPr>
        <w:pStyle w:val="ListBullet"/>
      </w:pPr>
      <w:r w:rsidRPr="00F02763">
        <w:t>SDS and product data sheets</w:t>
      </w:r>
    </w:p>
    <w:p w:rsidR="00000000" w:rsidRPr="00F02763" w:rsidP="00F02763">
      <w:pPr>
        <w:pStyle w:val="ListBullet"/>
      </w:pPr>
      <w:r w:rsidRPr="00F02763">
        <w:t>current state/territory work health and safety (WHS) legislation, standards and codes of practice relevant to the handling and st</w:t>
      </w:r>
      <w:r w:rsidRPr="00F02763">
        <w:t>orage of composite materials</w:t>
      </w:r>
    </w:p>
    <w:p w:rsidR="00000000" w:rsidRPr="00F02763" w:rsidP="00F02763">
      <w:pPr>
        <w:pStyle w:val="ListBullet"/>
      </w:pPr>
      <w:r w:rsidRPr="00F02763">
        <w:t>the hierarchy of hazard control measures</w:t>
      </w:r>
    </w:p>
    <w:p w:rsidR="00000000" w:rsidRPr="00F02763" w:rsidP="00F02763">
      <w:pPr>
        <w:pStyle w:val="ListBullet"/>
      </w:pPr>
      <w:r w:rsidRPr="00F02763">
        <w:t>material registers (e.g. set up hazardous goods register, maintain it and use it)</w:t>
      </w:r>
    </w:p>
    <w:p w:rsidR="00000000" w:rsidRPr="00F02763" w:rsidP="00F02763">
      <w:pPr>
        <w:pStyle w:val="ListBullet"/>
      </w:pPr>
      <w:r w:rsidRPr="00F02763">
        <w:t>bunding and ventilation</w:t>
      </w:r>
    </w:p>
    <w:p w:rsidR="00000000" w:rsidRPr="00F02763" w:rsidP="00F02763">
      <w:pPr>
        <w:pStyle w:val="ListBullet"/>
      </w:pPr>
      <w:r w:rsidRPr="00F02763">
        <w:t>handling and storage and impact on product</w:t>
      </w:r>
    </w:p>
    <w:p w:rsidR="00000000" w:rsidRPr="00F02763" w:rsidP="00F02763">
      <w:pPr>
        <w:pStyle w:val="ListBullet"/>
      </w:pPr>
      <w:r w:rsidRPr="00F02763">
        <w:t>contamination (e.g. from water)</w:t>
      </w:r>
    </w:p>
    <w:p w:rsidR="00000000" w:rsidRPr="00F02763" w:rsidP="00F02763">
      <w:pPr>
        <w:pStyle w:val="ListBullet"/>
      </w:pPr>
      <w:r w:rsidRPr="00F02763">
        <w:t>storage temperature (e.g. low temperature for catalyst).</w:t>
      </w:r>
    </w:p>
    <w:p w:rsidR="00000000" w:rsidRPr="00F02763" w:rsidP="00F02763">
      <w:pPr>
        <w:pStyle w:val="AllowPageBreak"/>
      </w:pPr>
    </w:p>
    <w:p w:rsidR="00000000" w:rsidRPr="00F02763" w:rsidP="00F02763">
      <w:pPr>
        <w:pStyle w:val="Heading1"/>
      </w:pPr>
      <w:bookmarkStart w:id="4" w:name="O_952164"/>
      <w:bookmarkEnd w:id="4"/>
      <w:r w:rsidRPr="00F02763">
        <w:t>Assessment Conditions</w:t>
      </w:r>
    </w:p>
    <w:p w:rsidR="00000000" w:rsidRPr="00F02763" w:rsidP="00F02763">
      <w:pPr>
        <w:pStyle w:val="ListBullet"/>
      </w:pPr>
      <w:r w:rsidRPr="00F02763">
        <w:t>Assessors must:</w:t>
      </w:r>
    </w:p>
    <w:p w:rsidR="00000000" w:rsidRPr="00F02763" w:rsidP="00F02763">
      <w:pPr>
        <w:pStyle w:val="ListBullet2"/>
      </w:pPr>
      <w:r w:rsidRPr="00F02763">
        <w:t>have vocational competency in storing and handling composite materials at least to the level being assessed with relevant industry knowledge a</w:t>
      </w:r>
      <w:r w:rsidRPr="00F02763">
        <w:t>nd experience</w:t>
      </w:r>
    </w:p>
    <w:p w:rsidR="00000000" w:rsidRPr="00F02763" w:rsidP="00F02763">
      <w:pPr>
        <w:pStyle w:val="ListBullet2"/>
      </w:pPr>
      <w:r w:rsidRPr="00F02763">
        <w:t xml:space="preserve">satisfy the assessor requirements in the </w:t>
      </w:r>
      <w:r w:rsidRPr="00F02763">
        <w:rPr>
          <w:rStyle w:val="Emphasis"/>
        </w:rPr>
        <w:t xml:space="preserve">Standards for Registered Training Organisations 2015 </w:t>
      </w:r>
      <w:r w:rsidRPr="00F02763">
        <w:t>or its replacement</w:t>
      </w:r>
      <w:r w:rsidRPr="00F02763">
        <w:rPr>
          <w:rStyle w:val="Emphasis"/>
        </w:rPr>
        <w:t xml:space="preserve"> </w:t>
      </w:r>
      <w:r w:rsidRPr="00F02763">
        <w:t xml:space="preserve">and comply with the </w:t>
      </w:r>
      <w:r w:rsidRPr="00F02763">
        <w:rPr>
          <w:rStyle w:val="Emphasis"/>
        </w:rPr>
        <w:t xml:space="preserve">National Vocational Education and Training Regulator Act 2011, </w:t>
      </w:r>
      <w:r w:rsidRPr="00F02763">
        <w:t>its replacement</w:t>
      </w:r>
      <w:r w:rsidRPr="00F02763">
        <w:rPr>
          <w:rStyle w:val="Emphasis"/>
        </w:rPr>
        <w:t xml:space="preserve"> </w:t>
      </w:r>
      <w:r w:rsidRPr="00F02763">
        <w:t>or equivalent legislation cove</w:t>
      </w:r>
      <w:r w:rsidRPr="00F02763">
        <w:t>ring VET regulation in a non-referring state/territory as the case requires</w:t>
      </w:r>
    </w:p>
    <w:p w:rsidR="00000000" w:rsidRPr="00F02763" w:rsidP="00F02763">
      <w:pPr>
        <w:pStyle w:val="ListBullet"/>
      </w:pPr>
      <w:r w:rsidRPr="00F02763">
        <w:t>Where possible assessment must occur in operational workplace situations. Where this is not possible or where personal safety or environmental damage are limiting factors, assessm</w:t>
      </w:r>
      <w:r w:rsidRPr="00F02763">
        <w:t>ent must occur in a sufficiently rigorous simulated environment that reflects realistic operational workplace conditions. This must cover all aspects of workplace performance, including environment, task skills, task management skills, contingency manageme</w:t>
      </w:r>
      <w:r w:rsidRPr="00F02763">
        <w:t>nt skills and job role environment skills</w:t>
      </w:r>
    </w:p>
    <w:p w:rsidR="00000000" w:rsidRPr="00F02763" w:rsidP="00F02763">
      <w:pPr>
        <w:pStyle w:val="ListBullet"/>
      </w:pPr>
      <w:r w:rsidRPr="00F02763">
        <w:t>Conditions for assessment must include access to all tools, equipment, materials and documentation required, including relevant workplace procedures, product and manufacturing specifications</w:t>
      </w:r>
    </w:p>
    <w:p w:rsidR="00000000" w:rsidRPr="00F02763" w:rsidP="00F02763">
      <w:pPr>
        <w:pStyle w:val="ListBullet"/>
      </w:pPr>
      <w:r w:rsidRPr="00F02763">
        <w:t>Assessment processes an</w:t>
      </w:r>
      <w:r w:rsidRPr="00F02763">
        <w:t>d techniques must be appropriate to the language, literacy and numeracy requirements of the work being performed and the needs of the candidate.</w:t>
      </w:r>
    </w:p>
    <w:p w:rsidR="00000000" w:rsidRPr="00F02763" w:rsidP="00F02763">
      <w:pPr>
        <w:pStyle w:val="AllowPageBreak"/>
      </w:pPr>
    </w:p>
    <w:p w:rsidR="00000000" w:rsidRPr="00F02763" w:rsidP="00F02763">
      <w:pPr>
        <w:pStyle w:val="Heading1"/>
      </w:pPr>
      <w:bookmarkStart w:id="5" w:name="O_952162"/>
      <w:bookmarkEnd w:id="5"/>
      <w:r w:rsidRPr="00F02763">
        <w:t>Links</w:t>
      </w:r>
    </w:p>
    <w:p w:rsidR="00000000" w:rsidRPr="00F02763" w:rsidP="000713F1">
      <w:pPr>
        <w:pStyle w:val="BodyText"/>
      </w:pPr>
      <w:r w:rsidRPr="00F027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5B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02763" w:rsidP="00F02763"/>
    <w:sectPr w:rsidSect="00F02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63" w:rsidRPr="000713F1" w:rsidP="00071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F1" w:rsidP="00F02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3F1" w:rsidP="00F02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13F1" w:rsidP="00F02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763" w:rsidRPr="000713F1" w:rsidP="00071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3F1" w:rsidRPr="002D2AF8" w:rsidP="00F02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MEM26010 Store and handle composite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13F1" w:rsidP="00F02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6669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D64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AA5E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763"/>
  </w:style>
  <w:style w:type="character" w:customStyle="1" w:styleId="Heading1Char">
    <w:name w:val="Heading 1 Char"/>
    <w:basedOn w:val="DefaultParagraphFont"/>
    <w:link w:val="Heading1"/>
    <w:rsid w:val="00F02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7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27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27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2763"/>
    <w:rPr>
      <w:i/>
    </w:rPr>
  </w:style>
  <w:style w:type="paragraph" w:customStyle="1" w:styleId="SuperHeading">
    <w:name w:val="SuperHeading"/>
    <w:basedOn w:val="Normal"/>
    <w:rsid w:val="00F02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7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27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2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2763"/>
    <w:rPr>
      <w:b/>
      <w:spacing w:val="0"/>
    </w:rPr>
  </w:style>
  <w:style w:type="paragraph" w:customStyle="1" w:styleId="SuperTitle">
    <w:name w:val="SuperTitle"/>
    <w:basedOn w:val="Title"/>
    <w:rsid w:val="00F02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2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7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2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763"/>
  </w:style>
  <w:style w:type="paragraph" w:styleId="TableofFigures">
    <w:name w:val="table of figures"/>
    <w:basedOn w:val="Normal"/>
    <w:next w:val="Normal"/>
    <w:semiHidden/>
    <w:rsid w:val="00F02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2763"/>
    <w:rPr>
      <w:rFonts w:ascii="Wingdings" w:hAnsi="Wingdings"/>
    </w:rPr>
  </w:style>
  <w:style w:type="paragraph" w:customStyle="1" w:styleId="TableHeading">
    <w:name w:val="Table Heading"/>
    <w:basedOn w:val="HeadingBase"/>
    <w:rsid w:val="00F02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763"/>
    <w:rPr>
      <w:color w:val="0033CC"/>
      <w:u w:val="none"/>
    </w:rPr>
  </w:style>
  <w:style w:type="paragraph" w:customStyle="1" w:styleId="BodyTextRight">
    <w:name w:val="Body Text Right"/>
    <w:basedOn w:val="BodyText"/>
    <w:rsid w:val="00F02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763"/>
    <w:rPr>
      <w:sz w:val="32"/>
    </w:rPr>
  </w:style>
  <w:style w:type="paragraph" w:customStyle="1" w:styleId="HeadingProcedure">
    <w:name w:val="Heading Procedure"/>
    <w:basedOn w:val="HeadingBase"/>
    <w:next w:val="Normal"/>
    <w:rsid w:val="00F02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763"/>
    <w:pPr>
      <w:spacing w:before="60" w:after="60"/>
    </w:pPr>
  </w:style>
  <w:style w:type="paragraph" w:styleId="ListContinue">
    <w:name w:val="List Continue"/>
    <w:basedOn w:val="List"/>
    <w:rsid w:val="00F02763"/>
    <w:pPr>
      <w:ind w:firstLine="0"/>
    </w:pPr>
  </w:style>
  <w:style w:type="paragraph" w:customStyle="1" w:styleId="ListNote">
    <w:name w:val="List Note"/>
    <w:basedOn w:val="List"/>
    <w:rsid w:val="00F02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763"/>
    <w:rPr>
      <w:rFonts w:ascii="Courier New" w:hAnsi="Courier New"/>
    </w:rPr>
  </w:style>
  <w:style w:type="paragraph" w:customStyle="1" w:styleId="NoteBullet">
    <w:name w:val="Note Bullet"/>
    <w:basedOn w:val="Note"/>
    <w:rsid w:val="00F02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2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763"/>
    <w:rPr>
      <w:b/>
      <w:smallCaps/>
    </w:rPr>
  </w:style>
  <w:style w:type="paragraph" w:customStyle="1" w:styleId="TableListNumber">
    <w:name w:val="Table List Number"/>
    <w:basedOn w:val="ListNumber"/>
    <w:rsid w:val="00F02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763"/>
    <w:pPr>
      <w:numPr>
        <w:numId w:val="9"/>
      </w:numPr>
    </w:pPr>
  </w:style>
  <w:style w:type="paragraph" w:customStyle="1" w:styleId="ListAlpha2">
    <w:name w:val="List Alpha 2"/>
    <w:basedOn w:val="List2"/>
    <w:rsid w:val="00F02763"/>
    <w:pPr>
      <w:numPr>
        <w:numId w:val="8"/>
      </w:numPr>
    </w:pPr>
  </w:style>
  <w:style w:type="paragraph" w:styleId="List2">
    <w:name w:val="List 2"/>
    <w:basedOn w:val="BodyText"/>
    <w:rsid w:val="00F02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2763"/>
    <w:pPr>
      <w:numPr>
        <w:numId w:val="4"/>
      </w:numPr>
    </w:pPr>
  </w:style>
  <w:style w:type="paragraph" w:styleId="ListContinue2">
    <w:name w:val="List Continue 2"/>
    <w:basedOn w:val="List2"/>
    <w:rsid w:val="00F02763"/>
    <w:pPr>
      <w:ind w:firstLine="0"/>
    </w:pPr>
  </w:style>
  <w:style w:type="paragraph" w:styleId="ListContinue3">
    <w:name w:val="List Continue 3"/>
    <w:basedOn w:val="List3"/>
    <w:rsid w:val="00F02763"/>
    <w:pPr>
      <w:ind w:left="1021" w:firstLine="0"/>
    </w:pPr>
  </w:style>
  <w:style w:type="paragraph" w:styleId="ListContinue4">
    <w:name w:val="List Continue 4"/>
    <w:basedOn w:val="List4"/>
    <w:rsid w:val="00F02763"/>
    <w:pPr>
      <w:ind w:firstLine="0"/>
    </w:pPr>
  </w:style>
  <w:style w:type="paragraph" w:styleId="ListContinue5">
    <w:name w:val="List Continue 5"/>
    <w:basedOn w:val="List5"/>
    <w:rsid w:val="00F02763"/>
    <w:pPr>
      <w:ind w:firstLine="0"/>
    </w:pPr>
  </w:style>
  <w:style w:type="paragraph" w:styleId="ListNumber3">
    <w:name w:val="List Number 3"/>
    <w:basedOn w:val="List3"/>
    <w:rsid w:val="00F02763"/>
    <w:pPr>
      <w:numPr>
        <w:numId w:val="5"/>
      </w:numPr>
    </w:pPr>
  </w:style>
  <w:style w:type="paragraph" w:styleId="ListNumber4">
    <w:name w:val="List Number 4"/>
    <w:basedOn w:val="List4"/>
    <w:rsid w:val="00F02763"/>
    <w:pPr>
      <w:numPr>
        <w:numId w:val="6"/>
      </w:numPr>
    </w:pPr>
  </w:style>
  <w:style w:type="paragraph" w:styleId="ListNumber5">
    <w:name w:val="List Number 5"/>
    <w:basedOn w:val="List5"/>
    <w:rsid w:val="00F02763"/>
    <w:pPr>
      <w:numPr>
        <w:numId w:val="7"/>
      </w:numPr>
    </w:pPr>
  </w:style>
  <w:style w:type="paragraph" w:styleId="BlockText">
    <w:name w:val="Block Text"/>
    <w:basedOn w:val="Normal"/>
    <w:rsid w:val="00F02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763"/>
    <w:rPr>
      <w:sz w:val="16"/>
      <w:vertAlign w:val="superscript"/>
    </w:rPr>
  </w:style>
  <w:style w:type="character" w:customStyle="1" w:styleId="Symbols">
    <w:name w:val="Symbols"/>
    <w:basedOn w:val="DefaultParagraphFont"/>
    <w:rsid w:val="00F02763"/>
    <w:rPr>
      <w:rFonts w:ascii="Symbol" w:hAnsi="Symbol"/>
    </w:rPr>
  </w:style>
  <w:style w:type="character" w:customStyle="1" w:styleId="MenuOptions">
    <w:name w:val="Menu Options"/>
    <w:basedOn w:val="DefaultParagraphFont"/>
    <w:rsid w:val="00F02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763"/>
    <w:rPr>
      <w:b/>
    </w:rPr>
  </w:style>
  <w:style w:type="character" w:customStyle="1" w:styleId="Underlined">
    <w:name w:val="Underlined"/>
    <w:basedOn w:val="DefaultParagraphFont"/>
    <w:rsid w:val="00F02763"/>
    <w:rPr>
      <w:u w:val="single"/>
    </w:rPr>
  </w:style>
  <w:style w:type="paragraph" w:customStyle="1" w:styleId="TableBodyTextRight">
    <w:name w:val="Table Body Text Right"/>
    <w:basedOn w:val="TableBodyText"/>
    <w:rsid w:val="00F02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763"/>
    <w:rPr>
      <w:sz w:val="18"/>
    </w:rPr>
  </w:style>
  <w:style w:type="paragraph" w:customStyle="1" w:styleId="BodySmallRight">
    <w:name w:val="Body Small Right"/>
    <w:basedOn w:val="BodyTextRight"/>
    <w:rsid w:val="00F02763"/>
    <w:rPr>
      <w:sz w:val="18"/>
      <w:szCs w:val="18"/>
    </w:rPr>
  </w:style>
  <w:style w:type="paragraph" w:customStyle="1" w:styleId="MarginEdition">
    <w:name w:val="Margin Edition"/>
    <w:basedOn w:val="MarginNote"/>
    <w:rsid w:val="00F02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763"/>
    <w:rPr>
      <w:sz w:val="2"/>
      <w:szCs w:val="2"/>
    </w:rPr>
  </w:style>
  <w:style w:type="character" w:customStyle="1" w:styleId="Small">
    <w:name w:val="Small"/>
    <w:basedOn w:val="DefaultParagraphFont"/>
    <w:rsid w:val="00F02763"/>
    <w:rPr>
      <w:sz w:val="16"/>
    </w:rPr>
  </w:style>
  <w:style w:type="paragraph" w:customStyle="1" w:styleId="WideTable">
    <w:name w:val="Wide Table"/>
    <w:basedOn w:val="Normal"/>
    <w:rsid w:val="00F02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763"/>
  </w:style>
  <w:style w:type="paragraph" w:styleId="Quote">
    <w:name w:val="Quote"/>
    <w:basedOn w:val="Heading1"/>
    <w:link w:val="QuoteChar"/>
    <w:qFormat/>
    <w:rsid w:val="00F02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763"/>
    <w:pPr>
      <w:pageBreakBefore/>
    </w:pPr>
  </w:style>
  <w:style w:type="paragraph" w:customStyle="1" w:styleId="Border">
    <w:name w:val="Border"/>
    <w:basedOn w:val="Normal"/>
    <w:qFormat/>
    <w:rsid w:val="00F02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763"/>
    <w:rPr>
      <w:u w:val="single"/>
    </w:rPr>
  </w:style>
  <w:style w:type="character" w:customStyle="1" w:styleId="BoldandItalics">
    <w:name w:val="Bold and Italics"/>
    <w:qFormat/>
    <w:rsid w:val="00F02763"/>
    <w:rPr>
      <w:b/>
      <w:i/>
      <w:u w:val="none"/>
    </w:rPr>
  </w:style>
  <w:style w:type="paragraph" w:styleId="BalloonText">
    <w:name w:val="Balloon Text"/>
    <w:basedOn w:val="Normal"/>
    <w:link w:val="BalloonTextChar"/>
    <w:rsid w:val="00F02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763"/>
    <w:pPr>
      <w:spacing w:before="0" w:after="0"/>
    </w:pPr>
  </w:style>
  <w:style w:type="paragraph" w:customStyle="1" w:styleId="BodyTextBold">
    <w:name w:val="Body Text Bold"/>
    <w:basedOn w:val="BodyText"/>
    <w:qFormat/>
    <w:rsid w:val="00F02763"/>
    <w:rPr>
      <w:b/>
    </w:rPr>
  </w:style>
  <w:style w:type="character" w:styleId="Hyperlink">
    <w:name w:val="Hyperlink"/>
    <w:basedOn w:val="DefaultParagraphFont"/>
    <w:uiPriority w:val="99"/>
    <w:unhideWhenUsed/>
    <w:rsid w:val="00071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3069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MEM26010 Store and handle composite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