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0A3" w:rsidP="00473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MEM26009 Select and use cores and fillers appropriate for product</w:t>
      </w:r>
      <w:r>
        <w:fldChar w:fldCharType="end"/>
      </w:r>
    </w:p>
    <w:p w:rsidR="004730A3" w:rsidP="004730A3">
      <w:pPr>
        <w:pStyle w:val="Version"/>
        <w:sectPr w:rsidSect="000F5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377" w:rsidP="000F5377">
      <w:pPr>
        <w:pStyle w:val="SuperHeading"/>
      </w:pPr>
      <w:r w:rsidRPr="000F5377">
        <w:t>Assessment Requirements for MEM26009 Select and use cores and fillers appropriate for product</w:t>
      </w:r>
    </w:p>
    <w:p w:rsidR="00000000" w:rsidRPr="000F5377" w:rsidP="000F5377">
      <w:pPr>
        <w:pStyle w:val="Heading1"/>
      </w:pPr>
      <w:bookmarkStart w:id="1" w:name="O_952144"/>
      <w:bookmarkEnd w:id="1"/>
      <w:r w:rsidRPr="000F5377">
        <w:t>Modification History</w:t>
      </w:r>
    </w:p>
    <w:p w:rsidR="00000000" w:rsidRPr="000F5377" w:rsidP="004730A3">
      <w:pPr>
        <w:pStyle w:val="BodyText"/>
      </w:pPr>
      <w:r w:rsidRPr="000F5377">
        <w:t xml:space="preserve">Release 1. Supersedes and is equivalent to MEM26009A Select and use cores and fillers appropriate for product </w:t>
      </w:r>
    </w:p>
    <w:p w:rsidR="00000000" w:rsidRPr="000F5377" w:rsidP="000F5377">
      <w:pPr>
        <w:pStyle w:val="Heading1"/>
      </w:pPr>
      <w:bookmarkStart w:id="2" w:name="O_952147"/>
      <w:bookmarkEnd w:id="2"/>
      <w:r w:rsidRPr="000F5377">
        <w:t>Performance Evidence</w:t>
      </w:r>
    </w:p>
    <w:p w:rsidR="00000000" w:rsidRPr="000F5377" w:rsidP="004730A3">
      <w:pPr>
        <w:pStyle w:val="BodyText"/>
      </w:pPr>
      <w:r w:rsidRPr="000F5377">
        <w:t>Evidence required to demonstrate competence in this unit must be relevant to and satisfy the requirements of the elements and performance criteria on at least two (2) occasions and include:</w:t>
      </w:r>
    </w:p>
    <w:p w:rsidR="00000000" w:rsidRPr="000F5377" w:rsidP="000F5377">
      <w:pPr>
        <w:pStyle w:val="ListBullet"/>
      </w:pPr>
      <w:r w:rsidRPr="000F5377">
        <w:t>following work instructions, standar</w:t>
      </w:r>
      <w:r w:rsidRPr="000F5377">
        <w:t xml:space="preserve">d operating procedures (SOPs) and safe work practices </w:t>
      </w:r>
    </w:p>
    <w:p w:rsidR="00000000" w:rsidRPr="000F5377" w:rsidP="000F5377">
      <w:pPr>
        <w:pStyle w:val="ListBullet"/>
      </w:pPr>
      <w:r w:rsidRPr="000F5377">
        <w:t>identifying and interpreting specifications, safety data sheets (SDS), formulas/recipes, batch sheets, product drawings and customer requests for selecting and using cores and fillers appropriate for p</w:t>
      </w:r>
      <w:r w:rsidRPr="000F5377">
        <w:t>roduct</w:t>
      </w:r>
    </w:p>
    <w:p w:rsidR="00000000" w:rsidRPr="000F5377" w:rsidP="000F5377">
      <w:pPr>
        <w:pStyle w:val="ListBullet"/>
      </w:pPr>
      <w:r w:rsidRPr="000F5377">
        <w:t xml:space="preserve">considering all reasonably available core and/or fillers when selecting and choosing the appropriate product </w:t>
      </w:r>
    </w:p>
    <w:p w:rsidR="00000000" w:rsidRPr="000F5377" w:rsidP="000F5377">
      <w:pPr>
        <w:pStyle w:val="ListBullet"/>
      </w:pPr>
      <w:r w:rsidRPr="000F5377">
        <w:t xml:space="preserve">preparing cores, as required </w:t>
      </w:r>
    </w:p>
    <w:p w:rsidR="00000000" w:rsidRPr="000F5377" w:rsidP="000F5377">
      <w:pPr>
        <w:pStyle w:val="ListBullet"/>
      </w:pPr>
      <w:r w:rsidRPr="000F5377">
        <w:t>preparing fillers, as required</w:t>
      </w:r>
    </w:p>
    <w:p w:rsidR="00000000" w:rsidRPr="000F5377" w:rsidP="000F5377">
      <w:pPr>
        <w:pStyle w:val="ListBullet"/>
      </w:pPr>
      <w:r w:rsidRPr="000F5377">
        <w:t>fabricating a sample and conducting/organising relevant test and evaluating th</w:t>
      </w:r>
      <w:r w:rsidRPr="000F5377">
        <w:t xml:space="preserve">e test results and making any required changes, as appropriate </w:t>
      </w:r>
    </w:p>
    <w:p w:rsidR="00000000" w:rsidRPr="000F5377" w:rsidP="000F5377">
      <w:pPr>
        <w:pStyle w:val="ListBullet"/>
      </w:pPr>
      <w:r w:rsidRPr="000F5377">
        <w:t>fabricating the final product using selected process and minimising waste as per specifications</w:t>
      </w:r>
    </w:p>
    <w:p w:rsidR="00000000" w:rsidRPr="000F5377" w:rsidP="000F5377">
      <w:pPr>
        <w:pStyle w:val="ListBullet"/>
      </w:pPr>
      <w:r w:rsidRPr="000F5377">
        <w:t xml:space="preserve">identifying areas for improvement and taking appropriate action </w:t>
      </w:r>
    </w:p>
    <w:p w:rsidR="00000000" w:rsidRPr="000F5377" w:rsidP="000F5377">
      <w:pPr>
        <w:pStyle w:val="ListBullet"/>
      </w:pPr>
      <w:r w:rsidRPr="000F5377">
        <w:t>completing all documentation an</w:t>
      </w:r>
      <w:r w:rsidRPr="000F5377">
        <w:t>d reports, including items requiring further action, in accordance with SOPs.</w:t>
      </w:r>
    </w:p>
    <w:p w:rsidR="00000000" w:rsidRPr="000F5377" w:rsidP="000F5377">
      <w:pPr>
        <w:pStyle w:val="AllowPageBreak"/>
      </w:pPr>
    </w:p>
    <w:p w:rsidR="00000000" w:rsidRPr="000F5377" w:rsidP="000F5377">
      <w:pPr>
        <w:pStyle w:val="Heading1"/>
      </w:pPr>
      <w:bookmarkStart w:id="3" w:name="O_952146"/>
      <w:bookmarkEnd w:id="3"/>
      <w:r w:rsidRPr="000F5377">
        <w:t>Knowledge Evidence</w:t>
      </w:r>
    </w:p>
    <w:p w:rsidR="00000000" w:rsidRPr="000F5377" w:rsidP="004730A3">
      <w:pPr>
        <w:pStyle w:val="BodyText"/>
      </w:pPr>
      <w:r w:rsidRPr="000F5377">
        <w:t>Evidence required to demonstrate the required knowledge for this unit must be relevant to and satisfy the requirements of the elements and per</w:t>
      </w:r>
      <w:r w:rsidRPr="000F5377">
        <w:t>formance criteria and include knowledge of:</w:t>
      </w:r>
    </w:p>
    <w:p w:rsidR="00000000" w:rsidRPr="000F5377" w:rsidP="000F5377">
      <w:pPr>
        <w:pStyle w:val="ListBullet"/>
      </w:pPr>
      <w:r w:rsidRPr="000F5377">
        <w:t>safe work practices and procedures and use of personal protective equipment (PPE)</w:t>
      </w:r>
    </w:p>
    <w:p w:rsidR="00000000" w:rsidRPr="000F5377" w:rsidP="000F5377">
      <w:pPr>
        <w:pStyle w:val="ListBullet"/>
      </w:pPr>
      <w:r w:rsidRPr="000F5377">
        <w:t>current state/territory work health and safety (WHS) legislation, standards and codes of practice relevant to selecting and using</w:t>
      </w:r>
      <w:r w:rsidRPr="000F5377">
        <w:t xml:space="preserve"> cores and fillers appropriate for product </w:t>
      </w:r>
    </w:p>
    <w:p w:rsidR="00000000" w:rsidRPr="000F5377" w:rsidP="000F5377">
      <w:pPr>
        <w:pStyle w:val="ListBullet"/>
      </w:pPr>
      <w:r w:rsidRPr="000F5377">
        <w:t>types of cores</w:t>
      </w:r>
    </w:p>
    <w:p w:rsidR="00000000" w:rsidRPr="000F5377" w:rsidP="000F5377">
      <w:pPr>
        <w:pStyle w:val="ListBullet"/>
      </w:pPr>
      <w:r w:rsidRPr="000F5377">
        <w:t>chemical makeup of cores, including urethane, polyvinyl chloride (PVC), styrene acrylonitrile (SAN) (e.g. Corefell), polymethacrylimide (PMI) (e.g. Rohacell), wood (e.g. end grain balsa), cellulose</w:t>
      </w:r>
      <w:r w:rsidRPr="000F5377">
        <w:t xml:space="preserve"> (e.g. phenolic coated paper), polypropylene (PP), polyethylene (PE), aluminium honeycomb and aramid honeycomb (e.g. Nomex)</w:t>
      </w:r>
    </w:p>
    <w:p w:rsidR="00000000" w:rsidRPr="000F5377" w:rsidP="000F5377">
      <w:pPr>
        <w:pStyle w:val="ListBullet"/>
      </w:pPr>
      <w:r w:rsidRPr="000F5377">
        <w:t>types of fillers including syntactic foam</w:t>
      </w:r>
    </w:p>
    <w:p w:rsidR="00000000" w:rsidRPr="000F5377" w:rsidP="000F5377">
      <w:pPr>
        <w:pStyle w:val="ListBullet"/>
      </w:pPr>
      <w:r w:rsidRPr="000F5377">
        <w:t>machining techniques</w:t>
      </w:r>
    </w:p>
    <w:p w:rsidR="00000000" w:rsidRPr="000F5377" w:rsidP="000F5377">
      <w:pPr>
        <w:pStyle w:val="ListBullet"/>
      </w:pPr>
      <w:r w:rsidRPr="000F5377">
        <w:t>function of cores and fillers</w:t>
      </w:r>
    </w:p>
    <w:p w:rsidR="00000000" w:rsidRPr="000F5377" w:rsidP="000F5377">
      <w:pPr>
        <w:pStyle w:val="ListBullet"/>
      </w:pPr>
      <w:r w:rsidRPr="000F5377">
        <w:t>bonding of cores and fillers</w:t>
      </w:r>
    </w:p>
    <w:p w:rsidR="00000000" w:rsidRPr="000F5377" w:rsidP="000F5377">
      <w:pPr>
        <w:pStyle w:val="ListBullet"/>
      </w:pPr>
      <w:r w:rsidRPr="000F5377">
        <w:t>wettability of cores and fillers by the resin</w:t>
      </w:r>
    </w:p>
    <w:p w:rsidR="00000000" w:rsidRPr="000F5377" w:rsidP="000F5377">
      <w:pPr>
        <w:pStyle w:val="ListBullet"/>
      </w:pPr>
      <w:r w:rsidRPr="000F5377">
        <w:t>properties of cores and fillers and their contributions to the properties of the composite</w:t>
      </w:r>
    </w:p>
    <w:p w:rsidR="00000000" w:rsidRPr="000F5377" w:rsidP="000F5377">
      <w:pPr>
        <w:pStyle w:val="ListBullet"/>
      </w:pPr>
      <w:r w:rsidRPr="000F5377">
        <w:t>interrelationship between cores, fillers and matrix</w:t>
      </w:r>
    </w:p>
    <w:p w:rsidR="00000000" w:rsidRPr="000F5377" w:rsidP="000F5377">
      <w:pPr>
        <w:pStyle w:val="ListBullet"/>
      </w:pPr>
      <w:r w:rsidRPr="000F5377">
        <w:t>modes of core failure</w:t>
      </w:r>
    </w:p>
    <w:p w:rsidR="00000000" w:rsidRPr="000F5377" w:rsidP="000F5377">
      <w:pPr>
        <w:pStyle w:val="ListBullet"/>
      </w:pPr>
      <w:r w:rsidRPr="000F5377">
        <w:t>sustainability considerations</w:t>
      </w:r>
    </w:p>
    <w:p w:rsidR="00000000" w:rsidRPr="000F5377" w:rsidP="000F5377">
      <w:pPr>
        <w:pStyle w:val="ListBullet"/>
      </w:pPr>
      <w:r w:rsidRPr="000F5377">
        <w:t>SDS appropriate</w:t>
      </w:r>
      <w:r w:rsidRPr="000F5377">
        <w:t xml:space="preserve"> to the chemical makeup of cores selected.</w:t>
      </w:r>
    </w:p>
    <w:p w:rsidR="00000000" w:rsidRPr="000F5377" w:rsidP="000F5377">
      <w:pPr>
        <w:pStyle w:val="AllowPageBreak"/>
      </w:pPr>
    </w:p>
    <w:p w:rsidR="00000000" w:rsidRPr="000F5377" w:rsidP="000F5377">
      <w:pPr>
        <w:pStyle w:val="Heading1"/>
      </w:pPr>
      <w:bookmarkStart w:id="4" w:name="O_952145"/>
      <w:bookmarkEnd w:id="4"/>
      <w:r w:rsidRPr="000F5377">
        <w:t>Assessment Conditions</w:t>
      </w:r>
    </w:p>
    <w:p w:rsidR="00000000" w:rsidRPr="000F5377" w:rsidP="000F5377">
      <w:pPr>
        <w:pStyle w:val="ListBullet"/>
      </w:pPr>
      <w:r w:rsidRPr="000F5377">
        <w:t>Assessors must:</w:t>
      </w:r>
    </w:p>
    <w:p w:rsidR="00000000" w:rsidRPr="000F5377" w:rsidP="000F5377">
      <w:pPr>
        <w:pStyle w:val="ListBullet2"/>
      </w:pPr>
      <w:r w:rsidRPr="000F5377">
        <w:t>have vocational competency in selecting and using cores and fillers appropriate for product at least to the level being assessed with relevant industry know</w:t>
      </w:r>
      <w:r w:rsidRPr="000F5377">
        <w:t>ledge and experience</w:t>
      </w:r>
    </w:p>
    <w:p w:rsidR="00000000" w:rsidRPr="000F5377" w:rsidP="000F5377">
      <w:pPr>
        <w:pStyle w:val="ListBullet2"/>
      </w:pPr>
      <w:r w:rsidRPr="000F5377">
        <w:t xml:space="preserve">satisfy the assessor requirements in the </w:t>
      </w:r>
      <w:r w:rsidRPr="000F5377">
        <w:rPr>
          <w:rStyle w:val="Emphasis"/>
        </w:rPr>
        <w:t xml:space="preserve">Standards for Registered Training Organisations 2015 </w:t>
      </w:r>
      <w:r w:rsidRPr="000F5377">
        <w:t>or its replacement</w:t>
      </w:r>
      <w:r w:rsidRPr="000F5377">
        <w:rPr>
          <w:rStyle w:val="Emphasis"/>
        </w:rPr>
        <w:t xml:space="preserve"> </w:t>
      </w:r>
      <w:r w:rsidRPr="000F5377">
        <w:t xml:space="preserve">and comply with the </w:t>
      </w:r>
      <w:r w:rsidRPr="000F5377">
        <w:rPr>
          <w:rStyle w:val="Emphasis"/>
        </w:rPr>
        <w:t xml:space="preserve">National Vocational Education and Training Regulator Act 2011, </w:t>
      </w:r>
      <w:r w:rsidRPr="000F5377">
        <w:t>its replacement</w:t>
      </w:r>
      <w:r w:rsidRPr="000F5377">
        <w:rPr>
          <w:rStyle w:val="Emphasis"/>
        </w:rPr>
        <w:t xml:space="preserve"> </w:t>
      </w:r>
      <w:r w:rsidRPr="000F5377">
        <w:t>or equivalent legislation covering VET regulation in a non-referring state/territory as the case requires</w:t>
      </w:r>
    </w:p>
    <w:p w:rsidR="00000000" w:rsidRPr="000F5377" w:rsidP="000F5377">
      <w:pPr>
        <w:pStyle w:val="ListBullet"/>
      </w:pPr>
      <w:r w:rsidRPr="000F5377">
        <w:t>Where possible assessment must occur in operational workplace situations. Where this is not possible or where personal safety or environmental damage</w:t>
      </w:r>
      <w:r w:rsidRPr="000F5377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0F5377">
        <w:t>t skills, contingency management skills and job role environment skills</w:t>
      </w:r>
    </w:p>
    <w:p w:rsidR="00000000" w:rsidRPr="000F5377" w:rsidP="000F5377">
      <w:pPr>
        <w:pStyle w:val="ListBullet"/>
      </w:pPr>
      <w:r w:rsidRPr="000F5377">
        <w:t>Conditions for assessment must include access to all tools, equipment, materials and documentation required, including relevant workplace procedures, product and manufacturing specific</w:t>
      </w:r>
      <w:r w:rsidRPr="000F5377">
        <w:t>ations</w:t>
      </w:r>
    </w:p>
    <w:p w:rsidR="00000000" w:rsidRPr="000F5377" w:rsidP="000F5377">
      <w:pPr>
        <w:pStyle w:val="ListBullet"/>
      </w:pPr>
      <w:r w:rsidRPr="000F5377">
        <w:t>Assessment processes and techniques must be appropriate to the language, literacy and numeracy requirements of the work being performed and the needs of the candidate.</w:t>
      </w:r>
    </w:p>
    <w:p w:rsidR="00000000" w:rsidRPr="000F5377" w:rsidP="000F5377">
      <w:pPr>
        <w:pStyle w:val="AllowPageBreak"/>
      </w:pPr>
    </w:p>
    <w:p w:rsidR="00000000" w:rsidRPr="000F5377" w:rsidP="000F5377">
      <w:pPr>
        <w:pStyle w:val="Heading1"/>
      </w:pPr>
      <w:bookmarkStart w:id="5" w:name="O_952143"/>
      <w:bookmarkEnd w:id="5"/>
      <w:r w:rsidRPr="000F5377">
        <w:t>Links</w:t>
      </w:r>
    </w:p>
    <w:p w:rsidR="00000000" w:rsidRPr="000F5377" w:rsidP="004730A3">
      <w:pPr>
        <w:pStyle w:val="BodyText"/>
      </w:pPr>
      <w:r w:rsidRPr="000F5377">
        <w:t>Companion Volume implementation guides are found in VETNet</w:t>
      </w:r>
      <w:r w:rsidRPr="000F5377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1C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F5377" w:rsidP="000F5377"/>
    <w:sectPr w:rsidSect="000F5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77" w:rsidRPr="004730A3" w:rsidP="00473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A3" w:rsidP="000F5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30A3" w:rsidP="000F5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30A3" w:rsidP="000F5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377" w:rsidRPr="004730A3" w:rsidP="00473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A3" w:rsidRPr="002D2AF8" w:rsidP="000F5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MEM26009 Select and use cores and fillers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730A3" w:rsidP="000F5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64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EEF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62D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377"/>
  </w:style>
  <w:style w:type="character" w:customStyle="1" w:styleId="Heading1Char">
    <w:name w:val="Heading 1 Char"/>
    <w:basedOn w:val="DefaultParagraphFont"/>
    <w:link w:val="Heading1"/>
    <w:rsid w:val="000F5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3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3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5377"/>
    <w:rPr>
      <w:i/>
    </w:rPr>
  </w:style>
  <w:style w:type="paragraph" w:customStyle="1" w:styleId="SuperHeading">
    <w:name w:val="SuperHeading"/>
    <w:basedOn w:val="Normal"/>
    <w:rsid w:val="000F5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377"/>
    <w:rPr>
      <w:b/>
      <w:spacing w:val="0"/>
    </w:rPr>
  </w:style>
  <w:style w:type="paragraph" w:customStyle="1" w:styleId="SuperTitle">
    <w:name w:val="SuperTitle"/>
    <w:basedOn w:val="Title"/>
    <w:rsid w:val="000F5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3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377"/>
  </w:style>
  <w:style w:type="paragraph" w:styleId="TableofFigures">
    <w:name w:val="table of figures"/>
    <w:basedOn w:val="Normal"/>
    <w:next w:val="Normal"/>
    <w:semiHidden/>
    <w:rsid w:val="000F5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3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377"/>
    <w:rPr>
      <w:rFonts w:ascii="Wingdings" w:hAnsi="Wingdings"/>
    </w:rPr>
  </w:style>
  <w:style w:type="paragraph" w:customStyle="1" w:styleId="TableHeading">
    <w:name w:val="Table Heading"/>
    <w:basedOn w:val="HeadingBase"/>
    <w:rsid w:val="000F5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377"/>
    <w:rPr>
      <w:color w:val="0033CC"/>
      <w:u w:val="none"/>
    </w:rPr>
  </w:style>
  <w:style w:type="paragraph" w:customStyle="1" w:styleId="BodyTextRight">
    <w:name w:val="Body Text Right"/>
    <w:basedOn w:val="BodyText"/>
    <w:rsid w:val="000F5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3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377"/>
    <w:rPr>
      <w:sz w:val="32"/>
    </w:rPr>
  </w:style>
  <w:style w:type="paragraph" w:customStyle="1" w:styleId="HeadingProcedure">
    <w:name w:val="Heading Procedure"/>
    <w:basedOn w:val="HeadingBase"/>
    <w:next w:val="Normal"/>
    <w:rsid w:val="000F5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377"/>
    <w:pPr>
      <w:spacing w:before="60" w:after="60"/>
    </w:pPr>
  </w:style>
  <w:style w:type="paragraph" w:styleId="ListContinue">
    <w:name w:val="List Continue"/>
    <w:basedOn w:val="List"/>
    <w:rsid w:val="000F5377"/>
    <w:pPr>
      <w:ind w:firstLine="0"/>
    </w:pPr>
  </w:style>
  <w:style w:type="paragraph" w:customStyle="1" w:styleId="ListNote">
    <w:name w:val="List Note"/>
    <w:basedOn w:val="List"/>
    <w:rsid w:val="000F5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377"/>
    <w:rPr>
      <w:rFonts w:ascii="Courier New" w:hAnsi="Courier New"/>
    </w:rPr>
  </w:style>
  <w:style w:type="paragraph" w:customStyle="1" w:styleId="NoteBullet">
    <w:name w:val="Note Bullet"/>
    <w:basedOn w:val="Note"/>
    <w:rsid w:val="000F5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3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377"/>
    <w:rPr>
      <w:b/>
      <w:smallCaps/>
    </w:rPr>
  </w:style>
  <w:style w:type="paragraph" w:customStyle="1" w:styleId="TableListNumber">
    <w:name w:val="Table List Number"/>
    <w:basedOn w:val="ListNumber"/>
    <w:rsid w:val="000F5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377"/>
    <w:pPr>
      <w:numPr>
        <w:numId w:val="9"/>
      </w:numPr>
    </w:pPr>
  </w:style>
  <w:style w:type="paragraph" w:customStyle="1" w:styleId="ListAlpha2">
    <w:name w:val="List Alpha 2"/>
    <w:basedOn w:val="List2"/>
    <w:rsid w:val="000F5377"/>
    <w:pPr>
      <w:numPr>
        <w:numId w:val="8"/>
      </w:numPr>
    </w:pPr>
  </w:style>
  <w:style w:type="paragraph" w:styleId="List2">
    <w:name w:val="List 2"/>
    <w:basedOn w:val="BodyText"/>
    <w:rsid w:val="000F5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3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3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377"/>
    <w:pPr>
      <w:numPr>
        <w:numId w:val="4"/>
      </w:numPr>
    </w:pPr>
  </w:style>
  <w:style w:type="paragraph" w:styleId="ListContinue2">
    <w:name w:val="List Continue 2"/>
    <w:basedOn w:val="List2"/>
    <w:rsid w:val="000F5377"/>
    <w:pPr>
      <w:ind w:firstLine="0"/>
    </w:pPr>
  </w:style>
  <w:style w:type="paragraph" w:styleId="ListContinue3">
    <w:name w:val="List Continue 3"/>
    <w:basedOn w:val="List3"/>
    <w:rsid w:val="000F5377"/>
    <w:pPr>
      <w:ind w:left="1021" w:firstLine="0"/>
    </w:pPr>
  </w:style>
  <w:style w:type="paragraph" w:styleId="ListContinue4">
    <w:name w:val="List Continue 4"/>
    <w:basedOn w:val="List4"/>
    <w:rsid w:val="000F5377"/>
    <w:pPr>
      <w:ind w:firstLine="0"/>
    </w:pPr>
  </w:style>
  <w:style w:type="paragraph" w:styleId="ListContinue5">
    <w:name w:val="List Continue 5"/>
    <w:basedOn w:val="List5"/>
    <w:rsid w:val="000F5377"/>
    <w:pPr>
      <w:ind w:firstLine="0"/>
    </w:pPr>
  </w:style>
  <w:style w:type="paragraph" w:styleId="ListNumber3">
    <w:name w:val="List Number 3"/>
    <w:basedOn w:val="List3"/>
    <w:rsid w:val="000F5377"/>
    <w:pPr>
      <w:numPr>
        <w:numId w:val="5"/>
      </w:numPr>
    </w:pPr>
  </w:style>
  <w:style w:type="paragraph" w:styleId="ListNumber4">
    <w:name w:val="List Number 4"/>
    <w:basedOn w:val="List4"/>
    <w:rsid w:val="000F5377"/>
    <w:pPr>
      <w:numPr>
        <w:numId w:val="6"/>
      </w:numPr>
    </w:pPr>
  </w:style>
  <w:style w:type="paragraph" w:styleId="ListNumber5">
    <w:name w:val="List Number 5"/>
    <w:basedOn w:val="List5"/>
    <w:rsid w:val="000F5377"/>
    <w:pPr>
      <w:numPr>
        <w:numId w:val="7"/>
      </w:numPr>
    </w:pPr>
  </w:style>
  <w:style w:type="paragraph" w:styleId="BlockText">
    <w:name w:val="Block Text"/>
    <w:basedOn w:val="Normal"/>
    <w:rsid w:val="000F5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377"/>
    <w:rPr>
      <w:sz w:val="16"/>
      <w:vertAlign w:val="superscript"/>
    </w:rPr>
  </w:style>
  <w:style w:type="character" w:customStyle="1" w:styleId="Symbols">
    <w:name w:val="Symbols"/>
    <w:basedOn w:val="DefaultParagraphFont"/>
    <w:rsid w:val="000F5377"/>
    <w:rPr>
      <w:rFonts w:ascii="Symbol" w:hAnsi="Symbol"/>
    </w:rPr>
  </w:style>
  <w:style w:type="character" w:customStyle="1" w:styleId="MenuOptions">
    <w:name w:val="Menu Options"/>
    <w:basedOn w:val="DefaultParagraphFont"/>
    <w:rsid w:val="000F5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377"/>
    <w:rPr>
      <w:b/>
    </w:rPr>
  </w:style>
  <w:style w:type="character" w:customStyle="1" w:styleId="Underlined">
    <w:name w:val="Underlined"/>
    <w:basedOn w:val="DefaultParagraphFont"/>
    <w:rsid w:val="000F5377"/>
    <w:rPr>
      <w:u w:val="single"/>
    </w:rPr>
  </w:style>
  <w:style w:type="paragraph" w:customStyle="1" w:styleId="TableBodyTextRight">
    <w:name w:val="Table Body Text Right"/>
    <w:basedOn w:val="TableBodyText"/>
    <w:rsid w:val="000F5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377"/>
    <w:rPr>
      <w:sz w:val="18"/>
    </w:rPr>
  </w:style>
  <w:style w:type="paragraph" w:customStyle="1" w:styleId="BodySmallRight">
    <w:name w:val="Body Small Right"/>
    <w:basedOn w:val="BodyTextRight"/>
    <w:rsid w:val="000F5377"/>
    <w:rPr>
      <w:sz w:val="18"/>
      <w:szCs w:val="18"/>
    </w:rPr>
  </w:style>
  <w:style w:type="paragraph" w:customStyle="1" w:styleId="MarginEdition">
    <w:name w:val="Margin Edition"/>
    <w:basedOn w:val="MarginNote"/>
    <w:rsid w:val="000F5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377"/>
    <w:rPr>
      <w:sz w:val="2"/>
      <w:szCs w:val="2"/>
    </w:rPr>
  </w:style>
  <w:style w:type="character" w:customStyle="1" w:styleId="Small">
    <w:name w:val="Small"/>
    <w:basedOn w:val="DefaultParagraphFont"/>
    <w:rsid w:val="000F5377"/>
    <w:rPr>
      <w:sz w:val="16"/>
    </w:rPr>
  </w:style>
  <w:style w:type="paragraph" w:customStyle="1" w:styleId="WideTable">
    <w:name w:val="Wide Table"/>
    <w:basedOn w:val="Normal"/>
    <w:rsid w:val="000F5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377"/>
  </w:style>
  <w:style w:type="paragraph" w:styleId="Quote">
    <w:name w:val="Quote"/>
    <w:basedOn w:val="Heading1"/>
    <w:link w:val="QuoteChar"/>
    <w:qFormat/>
    <w:rsid w:val="000F5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377"/>
    <w:pPr>
      <w:pageBreakBefore/>
    </w:pPr>
  </w:style>
  <w:style w:type="paragraph" w:customStyle="1" w:styleId="Border">
    <w:name w:val="Border"/>
    <w:basedOn w:val="Normal"/>
    <w:qFormat/>
    <w:rsid w:val="000F5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377"/>
    <w:rPr>
      <w:u w:val="single"/>
    </w:rPr>
  </w:style>
  <w:style w:type="character" w:customStyle="1" w:styleId="BoldandItalics">
    <w:name w:val="Bold and Italics"/>
    <w:qFormat/>
    <w:rsid w:val="000F5377"/>
    <w:rPr>
      <w:b/>
      <w:i/>
      <w:u w:val="none"/>
    </w:rPr>
  </w:style>
  <w:style w:type="paragraph" w:styleId="BalloonText">
    <w:name w:val="Balloon Text"/>
    <w:basedOn w:val="Normal"/>
    <w:link w:val="BalloonTextChar"/>
    <w:rsid w:val="000F5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377"/>
    <w:pPr>
      <w:spacing w:before="0" w:after="0"/>
    </w:pPr>
  </w:style>
  <w:style w:type="paragraph" w:customStyle="1" w:styleId="BodyTextBold">
    <w:name w:val="Body Text Bold"/>
    <w:basedOn w:val="BodyText"/>
    <w:qFormat/>
    <w:rsid w:val="000F5377"/>
    <w:rPr>
      <w:b/>
    </w:rPr>
  </w:style>
  <w:style w:type="character" w:styleId="Hyperlink">
    <w:name w:val="Hyperlink"/>
    <w:basedOn w:val="DefaultParagraphFont"/>
    <w:uiPriority w:val="99"/>
    <w:unhideWhenUsed/>
    <w:rsid w:val="00473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3762</Characters>
  <Application>Microsoft Office Word</Application>
  <DocSecurity>0</DocSecurity>
  <Lines>81</Lines>
  <Paragraphs>48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MEM26009 Select and use cores and fillers appropriate for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