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32B" w:rsidP="001C132B">
      <w:pPr>
        <w:pStyle w:val="Title"/>
      </w:pPr>
      <w:r>
        <w:fldChar w:fldCharType="begin"/>
      </w:r>
      <w:r>
        <w:instrText xml:space="preserve"> TITLE   \* MERGEFORMAT </w:instrText>
      </w:r>
      <w:r>
        <w:fldChar w:fldCharType="separate"/>
      </w:r>
      <w:r>
        <w:t>MEM26006 Mark and cut out sheets for composite use</w:t>
      </w:r>
      <w:r>
        <w:fldChar w:fldCharType="end"/>
      </w:r>
    </w:p>
    <w:p w:rsidR="001C132B" w:rsidP="001C132B">
      <w:pPr>
        <w:pStyle w:val="Version"/>
        <w:sectPr w:rsidSect="00B07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6A7" w:rsidP="00B076A7">
      <w:pPr>
        <w:pStyle w:val="SuperHeading"/>
      </w:pPr>
      <w:r w:rsidRPr="00B076A7">
        <w:t>MEM26006 Mark and cut out sheets for composite use</w:t>
      </w:r>
    </w:p>
    <w:p w:rsidR="00000000" w:rsidRPr="00B076A7" w:rsidP="00B076A7">
      <w:pPr>
        <w:pStyle w:val="Heading1"/>
      </w:pPr>
      <w:bookmarkStart w:id="1" w:name="O_952091"/>
      <w:bookmarkEnd w:id="1"/>
      <w:r w:rsidRPr="00B076A7">
        <w:t>Modification History</w:t>
      </w:r>
    </w:p>
    <w:p w:rsidR="00000000" w:rsidRPr="00B076A7" w:rsidP="001C132B">
      <w:pPr>
        <w:pStyle w:val="BodyText"/>
      </w:pPr>
      <w:r w:rsidRPr="00B076A7">
        <w:t>Release 1. Supersedes and is equivalent to MEM26006A Mark and cut sheets for composite use</w:t>
      </w:r>
    </w:p>
    <w:p w:rsidR="00000000" w:rsidRPr="00B076A7" w:rsidP="00B076A7">
      <w:pPr>
        <w:pStyle w:val="Heading1"/>
      </w:pPr>
      <w:bookmarkStart w:id="2" w:name="O_952099"/>
      <w:bookmarkEnd w:id="2"/>
      <w:r w:rsidRPr="00B076A7">
        <w:t>Application</w:t>
      </w:r>
    </w:p>
    <w:p w:rsidR="00000000" w:rsidRPr="00B076A7" w:rsidP="001C132B">
      <w:pPr>
        <w:pStyle w:val="BodyText"/>
      </w:pPr>
      <w:r w:rsidRPr="00B076A7">
        <w:t xml:space="preserve">This unit of competency defines the skills and knowledge required to mark and cut out sheets for composite </w:t>
      </w:r>
      <w:r w:rsidRPr="00B076A7">
        <w:t>use.</w:t>
      </w:r>
    </w:p>
    <w:p w:rsidR="00000000" w:rsidRPr="00B076A7" w:rsidP="001C132B">
      <w:pPr>
        <w:pStyle w:val="BodyText"/>
      </w:pPr>
      <w:r w:rsidRPr="00B076A7">
        <w:t>The marking out/cutting out of sheets used for composites can be significantly different to the marking out/cutting out of other materials, including metals. Sheets used in composite fabrication often have significant directionality which must be con</w:t>
      </w:r>
      <w:r w:rsidRPr="00B076A7">
        <w:t xml:space="preserve">sidered and as a result of this composite design often includes different physical properties in one direction to another and so sheets must be marked and cut to align the required directional properties of the product with those of the sheets used in the </w:t>
      </w:r>
      <w:r w:rsidRPr="00B076A7">
        <w:t>fabrication.</w:t>
      </w:r>
    </w:p>
    <w:p w:rsidR="00000000" w:rsidRPr="00B076A7" w:rsidP="001C132B">
      <w:pPr>
        <w:pStyle w:val="BodyText"/>
      </w:pPr>
      <w:r w:rsidRPr="00B076A7">
        <w:t>Where the selection and use of hand tools is required unit MEM18001 Use hand tools should also be selected.</w:t>
      </w:r>
    </w:p>
    <w:p w:rsidR="00000000" w:rsidRPr="00B076A7" w:rsidP="001C132B">
      <w:pPr>
        <w:pStyle w:val="BodyText"/>
      </w:pPr>
      <w:r w:rsidRPr="00B076A7">
        <w:t>Where the selection and use of power tools is required unit MEM18002 Use power tools/hand held operations should also be selected.</w:t>
      </w:r>
    </w:p>
    <w:p w:rsidR="00000000" w:rsidRPr="00B076A7" w:rsidP="001C132B">
      <w:pPr>
        <w:pStyle w:val="BodyText"/>
      </w:pPr>
      <w:r w:rsidRPr="00B076A7">
        <w:t>N</w:t>
      </w:r>
      <w:r w:rsidRPr="00B076A7">
        <w:t>o licensing, legislative or certification requirements apply to this unit at the time of publication.</w:t>
      </w:r>
    </w:p>
    <w:p w:rsidR="00000000" w:rsidRPr="00B076A7" w:rsidP="00B076A7">
      <w:pPr>
        <w:pStyle w:val="BodyText"/>
      </w:pPr>
      <w:r w:rsidRPr="00B076A7">
        <w:rPr>
          <w:rStyle w:val="SpecialBold"/>
        </w:rPr>
        <w:t>Band</w:t>
      </w:r>
      <w:r w:rsidRPr="00B076A7">
        <w:t>:</w:t>
      </w:r>
      <w:r w:rsidRPr="00B076A7">
        <w:tab/>
      </w:r>
      <w:r w:rsidRPr="00B076A7">
        <w:rPr>
          <w:rStyle w:val="SpecialBold"/>
        </w:rPr>
        <w:t>A</w:t>
      </w:r>
    </w:p>
    <w:p w:rsidR="00000000" w:rsidRPr="00B076A7" w:rsidP="00B076A7">
      <w:pPr>
        <w:pStyle w:val="BodyText"/>
      </w:pPr>
      <w:r w:rsidRPr="00B076A7">
        <w:rPr>
          <w:rStyle w:val="SpecialBold"/>
        </w:rPr>
        <w:t>Unit Weight</w:t>
      </w:r>
      <w:r w:rsidRPr="00B076A7">
        <w:t>:</w:t>
      </w:r>
      <w:r w:rsidRPr="00B076A7">
        <w:tab/>
      </w:r>
      <w:r w:rsidRPr="00B076A7">
        <w:rPr>
          <w:rStyle w:val="SpecialBold"/>
        </w:rPr>
        <w:t>4</w:t>
      </w:r>
    </w:p>
    <w:p w:rsidR="00000000" w:rsidRPr="00B076A7" w:rsidP="00B076A7">
      <w:pPr>
        <w:pStyle w:val="AllowPageBreak"/>
      </w:pPr>
    </w:p>
    <w:p w:rsidR="00000000" w:rsidRPr="00B076A7" w:rsidP="00B076A7">
      <w:pPr>
        <w:pStyle w:val="Heading1"/>
      </w:pPr>
      <w:bookmarkStart w:id="3" w:name="O_952098"/>
      <w:bookmarkEnd w:id="3"/>
      <w:r w:rsidRPr="00B076A7">
        <w:t>Pre-requisite Unit</w:t>
      </w:r>
    </w:p>
    <w:tbl>
      <w:tblPr>
        <w:tblW w:w="0" w:type="auto"/>
        <w:tblLayout w:type="fixed"/>
        <w:tblCellMar>
          <w:left w:w="62" w:type="dxa"/>
          <w:right w:w="62" w:type="dxa"/>
        </w:tblCellMar>
        <w:tblLook w:val="0000"/>
      </w:tblPr>
      <w:tblGrid>
        <w:gridCol w:w="2186"/>
        <w:gridCol w:w="6886"/>
      </w:tblGrid>
      <w:tr w:rsidTr="00B076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MEM13015</w:t>
            </w:r>
          </w:p>
        </w:tc>
        <w:tc>
          <w:tcPr>
            <w:tcW w:w="6886"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Work safely and effectively in manufacturing and engineering</w:t>
            </w:r>
          </w:p>
        </w:tc>
      </w:tr>
      <w:tr w:rsidTr="00B076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MEM16006</w:t>
            </w:r>
          </w:p>
        </w:tc>
        <w:tc>
          <w:tcPr>
            <w:tcW w:w="68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Organise and communicate information</w:t>
            </w:r>
          </w:p>
        </w:tc>
      </w:tr>
    </w:tbl>
    <w:p w:rsidR="00000000" w:rsidRPr="00B076A7" w:rsidP="00B076A7">
      <w:pPr>
        <w:pStyle w:val="BodyText"/>
      </w:pPr>
    </w:p>
    <w:p w:rsidR="00000000" w:rsidRPr="00B076A7" w:rsidP="00B076A7">
      <w:pPr>
        <w:pStyle w:val="AllowPageBreak"/>
      </w:pPr>
    </w:p>
    <w:p w:rsidR="00000000" w:rsidRPr="00B076A7" w:rsidP="00B076A7">
      <w:pPr>
        <w:pStyle w:val="Heading1"/>
      </w:pPr>
      <w:bookmarkStart w:id="4" w:name="O_952097"/>
      <w:bookmarkEnd w:id="4"/>
      <w:r w:rsidRPr="00B076A7">
        <w:t>Competency Field</w:t>
      </w:r>
    </w:p>
    <w:p w:rsidR="00000000" w:rsidRPr="00B076A7" w:rsidP="001C132B">
      <w:pPr>
        <w:pStyle w:val="BodyText"/>
      </w:pPr>
      <w:r w:rsidRPr="00B076A7">
        <w:t>Composites</w:t>
      </w:r>
    </w:p>
    <w:p w:rsidR="00000000" w:rsidRPr="00B076A7" w:rsidP="00B076A7">
      <w:pPr>
        <w:pStyle w:val="Heading1"/>
      </w:pPr>
      <w:bookmarkStart w:id="5" w:name="O_952095"/>
      <w:bookmarkEnd w:id="5"/>
      <w:r w:rsidRPr="00B076A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076A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Performance criteria describe the performance needed to demonstrate achievemen</w:t>
            </w:r>
            <w:r w:rsidRPr="00B076A7">
              <w:t>t of the element.</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1</w:t>
            </w:r>
          </w:p>
        </w:tc>
        <w:tc>
          <w:tcPr>
            <w:tcW w:w="1986" w:type="dxa"/>
            <w:vMerge w:val="restart"/>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1.1</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Follow standard operating procedures (SOPs)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1.2</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Comply with work health and safety (WHS) requirements at all times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1.3</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Use appropriate personal protective equipment (PPE) in accordance with SOPs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1.4</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Determine requirements of sheet material to be used from specifications, job sheets or work instructions and customer requests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1.5</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Identify process to be used to fabricat</w:t>
            </w:r>
            <w:r w:rsidRPr="00B076A7">
              <w:t>e product</w:t>
            </w:r>
          </w:p>
        </w:tc>
      </w:tr>
      <w:tr w:rsidTr="00B076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076A7">
            <w:pPr>
              <w:pStyle w:val="BodyText"/>
              <w:rPr>
                <w:lang w:val="en-NZ"/>
              </w:rPr>
            </w:pP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2</w:t>
            </w:r>
          </w:p>
        </w:tc>
        <w:tc>
          <w:tcPr>
            <w:tcW w:w="1986" w:type="dxa"/>
            <w:vMerge w:val="restart"/>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Develop geometric shape</w:t>
            </w: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2.1</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Develop lay flats for regular solid rectilinear shapes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2.2</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Develop lay flats for regular curved/circular shapes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2.3</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Develop lay flats for transition pieces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2.4</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Develop lay flats for complex 3-D shapes</w:t>
            </w:r>
          </w:p>
        </w:tc>
      </w:tr>
      <w:tr w:rsidTr="00B076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076A7">
            <w:pPr>
              <w:pStyle w:val="BodyText"/>
              <w:rPr>
                <w:lang w:val="en-NZ"/>
              </w:rPr>
            </w:pP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3</w:t>
            </w:r>
          </w:p>
        </w:tc>
        <w:tc>
          <w:tcPr>
            <w:tcW w:w="1986" w:type="dxa"/>
            <w:vMerge w:val="restart"/>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Orient required shape to suit directional differences of sheet</w:t>
            </w: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3.1</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Identify directional properties in sheet</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3.2</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Identify sheet-related directional requirements of product</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3.3</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Identify orientations and alignments of lay flats with sheet</w:t>
            </w:r>
          </w:p>
        </w:tc>
      </w:tr>
      <w:tr w:rsidTr="00B076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076A7">
            <w:pPr>
              <w:pStyle w:val="BodyText"/>
              <w:rPr>
                <w:lang w:val="en-NZ"/>
              </w:rPr>
            </w:pP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4</w:t>
            </w:r>
          </w:p>
        </w:tc>
        <w:tc>
          <w:tcPr>
            <w:tcW w:w="1986" w:type="dxa"/>
            <w:vMerge w:val="restart"/>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Mark out and cut sheet</w:t>
            </w: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4.1</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 xml:space="preserve">Identify and control hazards </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4.2</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Place lay flat on sheet and arrange lay flats to minimise waste</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4.3</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Prevent lay flat moving and mark sheet, as required, using lay flat</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4.4</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Cut sheet to meet requirements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4.5</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Identify typical problems and take appropriate remedial action</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4.6</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Perform final verification to meet product requirements</w:t>
            </w:r>
          </w:p>
        </w:tc>
      </w:tr>
      <w:tr w:rsidTr="00B076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076A7">
            <w:pPr>
              <w:pStyle w:val="BodyText"/>
              <w:rPr>
                <w:lang w:val="en-NZ"/>
              </w:rPr>
            </w:pP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5</w:t>
            </w:r>
          </w:p>
        </w:tc>
        <w:tc>
          <w:tcPr>
            <w:tcW w:w="1986" w:type="dxa"/>
            <w:vMerge w:val="restart"/>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Store templates/lay flats</w:t>
            </w: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5.1</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Clean lay flats after use</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5.2</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Label lay flat using identification protocol</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5.3</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Record required directionality information with lay flat</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5.4</w:t>
            </w:r>
          </w:p>
        </w:tc>
        <w:tc>
          <w:tcPr>
            <w:tcW w:w="5678"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Store lay flats according to procedures</w:t>
            </w:r>
          </w:p>
        </w:tc>
      </w:tr>
      <w:tr w:rsidTr="00B076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5.5</w:t>
            </w:r>
          </w:p>
        </w:tc>
        <w:tc>
          <w:tcPr>
            <w:tcW w:w="5678" w:type="dxa"/>
            <w:tcBorders>
              <w:top w:val="nil"/>
              <w:left w:val="nil"/>
              <w:bottom w:val="nil"/>
              <w:right w:val="nil"/>
            </w:tcBorders>
            <w:tcMar>
              <w:top w:w="0" w:type="dxa"/>
              <w:left w:w="62" w:type="dxa"/>
              <w:bottom w:w="0" w:type="dxa"/>
              <w:right w:w="62" w:type="dxa"/>
            </w:tcMar>
          </w:tcPr>
          <w:p w:rsidR="00000000" w:rsidRPr="00B076A7" w:rsidP="00B076A7">
            <w:pPr>
              <w:pStyle w:val="BodyText"/>
            </w:pPr>
            <w:r w:rsidRPr="00B076A7">
              <w:t>Complete logs and reports according to SOPs</w:t>
            </w:r>
          </w:p>
        </w:tc>
      </w:tr>
    </w:tbl>
    <w:p w:rsidR="00000000" w:rsidRPr="00B076A7" w:rsidP="00B076A7">
      <w:pPr>
        <w:pStyle w:val="BodyText"/>
      </w:pPr>
    </w:p>
    <w:p w:rsidR="00000000" w:rsidRPr="00B076A7" w:rsidP="00B076A7">
      <w:pPr>
        <w:pStyle w:val="AllowPageBreak"/>
      </w:pPr>
    </w:p>
    <w:p w:rsidR="00000000" w:rsidRPr="00B076A7" w:rsidP="00B076A7">
      <w:pPr>
        <w:pStyle w:val="Heading1"/>
      </w:pPr>
      <w:bookmarkStart w:id="6" w:name="O_952094"/>
      <w:bookmarkEnd w:id="6"/>
      <w:r w:rsidRPr="00B076A7">
        <w:t>Foundation Skills</w:t>
      </w:r>
    </w:p>
    <w:p w:rsidR="00000000" w:rsidRPr="00B076A7" w:rsidP="001C132B">
      <w:pPr>
        <w:pStyle w:val="BodyText"/>
      </w:pPr>
      <w:r w:rsidRPr="00B076A7">
        <w:t xml:space="preserve">This section describes those required skills (reading, writing, </w:t>
      </w:r>
      <w:r w:rsidRPr="00B076A7">
        <w:t xml:space="preserve">oral communication and numeracy) that are essential to workplace performance in this unit of competency.  </w:t>
      </w:r>
    </w:p>
    <w:p w:rsidR="00000000" w:rsidRPr="00B076A7" w:rsidP="001C132B">
      <w:pPr>
        <w:pStyle w:val="BodyText"/>
      </w:pPr>
      <w:r w:rsidRPr="00B076A7">
        <w:t>Foundation skills essential to performance are explicit in the performance criteria of this unit of competency.</w:t>
      </w:r>
    </w:p>
    <w:p w:rsidR="00000000" w:rsidRPr="00B076A7" w:rsidP="00B076A7">
      <w:pPr>
        <w:pStyle w:val="Heading1"/>
      </w:pPr>
      <w:bookmarkStart w:id="7" w:name="O_952093"/>
      <w:bookmarkEnd w:id="7"/>
      <w:r w:rsidRPr="00B076A7">
        <w:t>Range of Conditions</w:t>
      </w:r>
    </w:p>
    <w:tbl>
      <w:tblPr>
        <w:tblW w:w="0" w:type="auto"/>
        <w:tblLayout w:type="fixed"/>
        <w:tblCellMar>
          <w:left w:w="62" w:type="dxa"/>
          <w:right w:w="62" w:type="dxa"/>
        </w:tblCellMar>
        <w:tblLook w:val="0000"/>
      </w:tblPr>
      <w:tblGrid>
        <w:gridCol w:w="2760"/>
        <w:gridCol w:w="6382"/>
      </w:tblGrid>
      <w:tr w:rsidTr="00B076A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t>This field allows for different work environments and conditions that may affect performance. Essential operating conditions that may be present (depending on the work situation, needs of the candidate, accessibility of the item, and local industry and re</w:t>
            </w:r>
            <w:r w:rsidRPr="00B076A7">
              <w:t>gional contexts) are included.</w:t>
            </w:r>
          </w:p>
        </w:tc>
      </w:tr>
      <w:tr w:rsidTr="00B076A7">
        <w:tblPrEx>
          <w:tblW w:w="0" w:type="auto"/>
          <w:tblLayout w:type="fixed"/>
          <w:tblCellMar>
            <w:left w:w="62" w:type="dxa"/>
            <w:right w:w="62" w:type="dxa"/>
          </w:tblCellMar>
          <w:tblLook w:val="0000"/>
        </w:tblPrEx>
        <w:trPr>
          <w:trHeight w:val="2483"/>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Sheets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reinforcing:</w:t>
            </w:r>
          </w:p>
          <w:p w:rsidR="00000000" w:rsidRPr="00B076A7" w:rsidP="00B076A7">
            <w:pPr>
              <w:pStyle w:val="ListBullet2"/>
            </w:pPr>
            <w:r w:rsidRPr="00B076A7">
              <w:t>woven</w:t>
            </w:r>
          </w:p>
          <w:p w:rsidR="00000000" w:rsidRPr="00B076A7" w:rsidP="00B076A7">
            <w:pPr>
              <w:pStyle w:val="ListBullet2"/>
            </w:pPr>
            <w:r w:rsidRPr="00B076A7">
              <w:t>non-woven</w:t>
            </w:r>
          </w:p>
          <w:p w:rsidR="00000000" w:rsidRPr="00B076A7" w:rsidP="00B076A7">
            <w:pPr>
              <w:pStyle w:val="ListBullet"/>
            </w:pPr>
            <w:r w:rsidRPr="00B076A7">
              <w:t>pre-impregnated (pre-preg)</w:t>
            </w:r>
          </w:p>
          <w:p w:rsidR="00000000" w:rsidRPr="00B076A7" w:rsidP="00B076A7">
            <w:pPr>
              <w:pStyle w:val="ListBullet"/>
            </w:pPr>
            <w:r w:rsidRPr="00B076A7">
              <w:t>cores</w:t>
            </w:r>
          </w:p>
          <w:p w:rsidR="00000000" w:rsidRPr="00B076A7" w:rsidP="00B076A7">
            <w:pPr>
              <w:pStyle w:val="ListBullet"/>
            </w:pPr>
            <w:r w:rsidRPr="00B076A7">
              <w:t>timber, including medium density fibreboard (MDF) and plywood</w:t>
            </w:r>
          </w:p>
          <w:p w:rsidR="00000000" w:rsidP="00B076A7">
            <w:pPr>
              <w:pStyle w:val="ListBullet"/>
              <w:rPr>
                <w:lang w:val="en-NZ"/>
              </w:rPr>
            </w:pPr>
            <w:r w:rsidRPr="00B076A7">
              <w:t>filler material</w:t>
            </w:r>
          </w:p>
        </w:tc>
      </w:tr>
      <w:tr w:rsidTr="00B076A7">
        <w:tblPrEx>
          <w:tblW w:w="0" w:type="auto"/>
          <w:tblLayout w:type="fixed"/>
          <w:tblCellMar>
            <w:left w:w="62" w:type="dxa"/>
            <w:right w:w="62" w:type="dxa"/>
          </w:tblCellMar>
          <w:tblLook w:val="0000"/>
        </w:tblPrEx>
        <w:trPr>
          <w:trHeight w:val="2473"/>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Requirements of sheet material includes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strength</w:t>
            </w:r>
          </w:p>
          <w:p w:rsidR="00000000" w:rsidRPr="00B076A7" w:rsidP="00B076A7">
            <w:pPr>
              <w:pStyle w:val="ListBullet"/>
            </w:pPr>
            <w:r w:rsidRPr="00B076A7">
              <w:t>flexibility/rigidity</w:t>
            </w:r>
          </w:p>
          <w:p w:rsidR="00000000" w:rsidRPr="00B076A7" w:rsidP="00B076A7">
            <w:pPr>
              <w:pStyle w:val="ListBullet"/>
            </w:pPr>
            <w:r w:rsidRPr="00B076A7">
              <w:t>thickness</w:t>
            </w:r>
          </w:p>
          <w:p w:rsidR="00000000" w:rsidRPr="00B076A7" w:rsidP="00B076A7">
            <w:pPr>
              <w:pStyle w:val="ListBullet"/>
            </w:pPr>
            <w:r w:rsidRPr="00B076A7">
              <w:t>density</w:t>
            </w:r>
          </w:p>
          <w:p w:rsidR="00000000" w:rsidRPr="00B076A7" w:rsidP="00B076A7">
            <w:pPr>
              <w:pStyle w:val="ListBullet"/>
            </w:pPr>
            <w:r w:rsidRPr="00B076A7">
              <w:t>directionality</w:t>
            </w:r>
          </w:p>
          <w:p w:rsidR="00000000" w:rsidRPr="00B076A7" w:rsidP="00B076A7">
            <w:pPr>
              <w:pStyle w:val="ListBullet"/>
            </w:pPr>
            <w:r w:rsidRPr="00B076A7">
              <w:t>drape</w:t>
            </w:r>
          </w:p>
          <w:p w:rsidR="00000000" w:rsidP="00B076A7">
            <w:pPr>
              <w:pStyle w:val="ListBullet"/>
              <w:rPr>
                <w:lang w:val="en-NZ"/>
              </w:rPr>
            </w:pPr>
            <w:r w:rsidRPr="00B076A7">
              <w:t>operating temperature</w:t>
            </w:r>
          </w:p>
        </w:tc>
      </w:tr>
      <w:tr w:rsidTr="00B076A7">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Regular rectilinear shapes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rectangular prisms</w:t>
            </w:r>
          </w:p>
          <w:p w:rsidR="00000000" w:rsidRPr="00B076A7" w:rsidP="00B076A7">
            <w:pPr>
              <w:pStyle w:val="ListBullet"/>
            </w:pPr>
            <w:r w:rsidRPr="00B076A7">
              <w:t>cubes</w:t>
            </w:r>
          </w:p>
          <w:p w:rsidR="00000000" w:rsidRPr="00B076A7" w:rsidP="00B076A7">
            <w:pPr>
              <w:pStyle w:val="ListBullet"/>
            </w:pPr>
            <w:r w:rsidRPr="00B076A7">
              <w:t>portions of prisms and cubes</w:t>
            </w:r>
          </w:p>
          <w:p w:rsidR="00000000" w:rsidP="00B076A7">
            <w:pPr>
              <w:pStyle w:val="ListBullet"/>
              <w:rPr>
                <w:lang w:val="en-NZ"/>
              </w:rPr>
            </w:pPr>
            <w:r w:rsidRPr="00B076A7">
              <w:t>similar shapes</w:t>
            </w:r>
          </w:p>
        </w:tc>
      </w:tr>
      <w:tr w:rsidTr="00B076A7">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Regular curved shapes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cylinders</w:t>
            </w:r>
          </w:p>
          <w:p w:rsidR="00000000" w:rsidRPr="00B076A7" w:rsidP="00B076A7">
            <w:pPr>
              <w:pStyle w:val="ListBullet"/>
            </w:pPr>
            <w:r w:rsidRPr="00B076A7">
              <w:t>spheres</w:t>
            </w:r>
          </w:p>
          <w:p w:rsidR="00000000" w:rsidRPr="00B076A7" w:rsidP="00B076A7">
            <w:pPr>
              <w:pStyle w:val="ListBullet"/>
            </w:pPr>
            <w:r w:rsidRPr="00B076A7">
              <w:t>segments of cylinders and spheres</w:t>
            </w:r>
          </w:p>
          <w:p w:rsidR="00000000" w:rsidP="00B076A7">
            <w:pPr>
              <w:pStyle w:val="ListBullet"/>
              <w:rPr>
                <w:lang w:val="en-NZ"/>
              </w:rPr>
            </w:pPr>
            <w:r w:rsidRPr="00B076A7">
              <w:t>similar shapes</w:t>
            </w:r>
          </w:p>
        </w:tc>
      </w:tr>
      <w:tr w:rsidTr="00B076A7">
        <w:tblPrEx>
          <w:tblW w:w="0" w:type="auto"/>
          <w:tblLayout w:type="fixed"/>
          <w:tblCellMar>
            <w:left w:w="62" w:type="dxa"/>
            <w:right w:w="62" w:type="dxa"/>
          </w:tblCellMar>
          <w:tblLook w:val="0000"/>
        </w:tblPrEx>
        <w:trPr>
          <w:trHeight w:val="2430"/>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Transition pieces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cones</w:t>
            </w:r>
          </w:p>
          <w:p w:rsidR="00000000" w:rsidRPr="00B076A7" w:rsidP="00B076A7">
            <w:pPr>
              <w:pStyle w:val="ListBullet"/>
            </w:pPr>
            <w:r w:rsidRPr="00B076A7">
              <w:t>pyramids</w:t>
            </w:r>
          </w:p>
          <w:p w:rsidR="00000000" w:rsidRPr="00B076A7" w:rsidP="00B076A7">
            <w:pPr>
              <w:pStyle w:val="ListBullet"/>
            </w:pPr>
            <w:r w:rsidRPr="00B076A7">
              <w:t>portions of cones and pyramids</w:t>
            </w:r>
          </w:p>
          <w:p w:rsidR="00000000" w:rsidRPr="00B076A7" w:rsidP="00B076A7">
            <w:pPr>
              <w:pStyle w:val="ListBullet"/>
            </w:pPr>
            <w:r w:rsidRPr="00B076A7">
              <w:t>square to round</w:t>
            </w:r>
          </w:p>
          <w:p w:rsidR="00000000" w:rsidRPr="00B076A7" w:rsidP="00B076A7">
            <w:pPr>
              <w:pStyle w:val="ListBullet"/>
            </w:pPr>
            <w:r w:rsidRPr="00B076A7">
              <w:t>tee piece</w:t>
            </w:r>
          </w:p>
          <w:p w:rsidR="00000000" w:rsidRPr="00B076A7" w:rsidP="00B076A7">
            <w:pPr>
              <w:pStyle w:val="ListBullet"/>
            </w:pPr>
            <w:r w:rsidRPr="00B076A7">
              <w:t>lobster back</w:t>
            </w:r>
          </w:p>
          <w:p w:rsidR="00000000" w:rsidP="00B076A7">
            <w:pPr>
              <w:pStyle w:val="ListBullet"/>
              <w:rPr>
                <w:lang w:val="en-NZ"/>
              </w:rPr>
            </w:pPr>
            <w:r w:rsidRPr="00B076A7">
              <w:t>similar shapes</w:t>
            </w:r>
          </w:p>
        </w:tc>
      </w:tr>
      <w:tr w:rsidTr="00B076A7">
        <w:tblPrEx>
          <w:tblW w:w="0" w:type="auto"/>
          <w:tblLayout w:type="fixed"/>
          <w:tblCellMar>
            <w:left w:w="62" w:type="dxa"/>
            <w:right w:w="62" w:type="dxa"/>
          </w:tblCellMar>
          <w:tblLook w:val="0000"/>
        </w:tblPrEx>
        <w:trPr>
          <w:trHeight w:val="766"/>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Complex 3-D shapes include the following:</w:t>
            </w:r>
          </w:p>
        </w:tc>
        <w:tc>
          <w:tcPr>
            <w:tcW w:w="6382" w:type="dxa"/>
            <w:tcBorders>
              <w:top w:val="nil"/>
              <w:left w:val="nil"/>
              <w:bottom w:val="nil"/>
              <w:right w:val="nil"/>
            </w:tcBorders>
            <w:tcMar>
              <w:top w:w="0" w:type="dxa"/>
              <w:left w:w="62" w:type="dxa"/>
              <w:bottom w:w="0" w:type="dxa"/>
              <w:right w:w="62" w:type="dxa"/>
            </w:tcMar>
          </w:tcPr>
          <w:p w:rsidR="00000000" w:rsidP="00B076A7">
            <w:pPr>
              <w:pStyle w:val="ListBullet"/>
              <w:rPr>
                <w:lang w:val="en-NZ"/>
              </w:rPr>
            </w:pPr>
            <w:r w:rsidRPr="00B076A7">
              <w:t>other 3-D shapes which may need to be fabricated and which may be composed of a number of components of the above shapes</w:t>
            </w:r>
          </w:p>
        </w:tc>
      </w:tr>
      <w:tr w:rsidTr="00B076A7">
        <w:tblPrEx>
          <w:tblW w:w="0" w:type="auto"/>
          <w:tblLayout w:type="fixed"/>
          <w:tblCellMar>
            <w:left w:w="62" w:type="dxa"/>
            <w:right w:w="62" w:type="dxa"/>
          </w:tblCellMar>
          <w:tblLook w:val="0000"/>
        </w:tblPrEx>
        <w:trPr>
          <w:trHeight w:val="2061"/>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Alignment includes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warp</w:t>
            </w:r>
          </w:p>
          <w:p w:rsidR="00000000" w:rsidRPr="00B076A7" w:rsidP="00B076A7">
            <w:pPr>
              <w:pStyle w:val="ListBullet"/>
            </w:pPr>
            <w:r w:rsidRPr="00B076A7">
              <w:t>weft</w:t>
            </w:r>
          </w:p>
          <w:p w:rsidR="00000000" w:rsidRPr="00B076A7" w:rsidP="00B076A7">
            <w:pPr>
              <w:pStyle w:val="ListBullet"/>
            </w:pPr>
            <w:r w:rsidRPr="00B076A7">
              <w:t>selvedge</w:t>
            </w:r>
          </w:p>
          <w:p w:rsidR="00000000" w:rsidRPr="00B076A7" w:rsidP="00B076A7">
            <w:pPr>
              <w:pStyle w:val="ListBullet"/>
            </w:pPr>
            <w:r w:rsidRPr="00B076A7">
              <w:t>other features of the sheet</w:t>
            </w:r>
          </w:p>
          <w:p w:rsidR="00000000" w:rsidP="00B076A7">
            <w:pPr>
              <w:pStyle w:val="ListBullet"/>
              <w:rPr>
                <w:lang w:val="en-NZ"/>
              </w:rPr>
            </w:pPr>
            <w:r w:rsidRPr="00B076A7">
              <w:t>the nesting of lay flats to optimise the use of materials and minimise waste</w:t>
            </w:r>
          </w:p>
        </w:tc>
      </w:tr>
      <w:tr w:rsidTr="00B076A7">
        <w:tblPrEx>
          <w:tblW w:w="0" w:type="auto"/>
          <w:tblLayout w:type="fixed"/>
          <w:tblCellMar>
            <w:left w:w="62" w:type="dxa"/>
            <w:right w:w="62" w:type="dxa"/>
          </w:tblCellMar>
          <w:tblLook w:val="0000"/>
        </w:tblPrEx>
        <w:trPr>
          <w:trHeight w:val="2061"/>
        </w:trPr>
        <w:tc>
          <w:tcPr>
            <w:tcW w:w="2760" w:type="dxa"/>
            <w:tcBorders>
              <w:top w:val="nil"/>
              <w:left w:val="nil"/>
              <w:bottom w:val="nil"/>
              <w:right w:val="nil"/>
            </w:tcBorders>
            <w:tcMar>
              <w:top w:w="0" w:type="dxa"/>
              <w:left w:w="62" w:type="dxa"/>
              <w:bottom w:w="0" w:type="dxa"/>
              <w:right w:w="62" w:type="dxa"/>
            </w:tcMar>
          </w:tcPr>
          <w:p w:rsidR="00000000" w:rsidP="00B076A7">
            <w:pPr>
              <w:pStyle w:val="BodyText"/>
              <w:rPr>
                <w:lang w:val="en-NZ"/>
              </w:rPr>
            </w:pPr>
            <w:r w:rsidRPr="00B076A7">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076A7" w:rsidP="00B076A7">
            <w:pPr>
              <w:pStyle w:val="ListBullet"/>
            </w:pPr>
            <w:r w:rsidRPr="00B076A7">
              <w:t>identifying directionality in sheet</w:t>
            </w:r>
          </w:p>
          <w:p w:rsidR="00000000" w:rsidRPr="00B076A7" w:rsidP="00B076A7">
            <w:pPr>
              <w:pStyle w:val="ListBullet"/>
            </w:pPr>
            <w:r w:rsidRPr="00B076A7">
              <w:t>identify a feature to provide alignment</w:t>
            </w:r>
          </w:p>
          <w:p w:rsidR="00000000" w:rsidRPr="00B076A7" w:rsidP="00B076A7">
            <w:pPr>
              <w:pStyle w:val="ListBullet"/>
            </w:pPr>
            <w:r w:rsidRPr="00B076A7">
              <w:t>products requiring multidirectional properties</w:t>
            </w:r>
          </w:p>
        </w:tc>
      </w:tr>
    </w:tbl>
    <w:p w:rsidR="00000000" w:rsidRPr="00B076A7" w:rsidP="00B076A7">
      <w:pPr>
        <w:pStyle w:val="BodyText"/>
      </w:pPr>
    </w:p>
    <w:p w:rsidR="00000000" w:rsidRPr="00B076A7" w:rsidP="00B076A7">
      <w:pPr>
        <w:pStyle w:val="AllowPageBreak"/>
      </w:pPr>
    </w:p>
    <w:p w:rsidR="00000000" w:rsidRPr="00B076A7" w:rsidP="00B076A7">
      <w:pPr>
        <w:pStyle w:val="Heading1"/>
      </w:pPr>
      <w:bookmarkStart w:id="8" w:name="O_952092"/>
      <w:bookmarkEnd w:id="8"/>
      <w:r w:rsidRPr="00B076A7">
        <w:t>Unit Mapping Information</w:t>
      </w:r>
    </w:p>
    <w:p w:rsidR="00000000" w:rsidRPr="00B076A7" w:rsidP="001C132B">
      <w:pPr>
        <w:pStyle w:val="BodyText"/>
      </w:pPr>
      <w:r w:rsidRPr="00B076A7">
        <w:t>Release 1. Supersedes and is equivalent to MEM26006A Mark and cut sheets for composite use</w:t>
      </w:r>
    </w:p>
    <w:p w:rsidR="00000000" w:rsidRPr="00B076A7" w:rsidP="00B076A7">
      <w:pPr>
        <w:pStyle w:val="Heading1"/>
      </w:pPr>
      <w:bookmarkStart w:id="9" w:name="O_952085"/>
      <w:bookmarkEnd w:id="9"/>
      <w:r w:rsidRPr="00B076A7">
        <w:t>Links</w:t>
      </w:r>
    </w:p>
    <w:p w:rsidR="00000000" w:rsidRPr="00B076A7" w:rsidP="001C132B">
      <w:pPr>
        <w:pStyle w:val="BodyText"/>
      </w:pPr>
      <w:r w:rsidRPr="00B076A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E0EB3">
        <w:rPr>
          <w:rStyle w:val="Hyperlink"/>
        </w:rPr>
        <w:t>https://vetnet.gov.au/Pages/TrainingDocs.aspx?q=b7050d37-5fd0-4740-8f7d-3b7a49c10bb2</w:t>
      </w:r>
      <w:r>
        <w:fldChar w:fldCharType="end"/>
      </w:r>
    </w:p>
    <w:p w:rsidR="00000000" w:rsidRPr="00B076A7" w:rsidP="00B076A7"/>
    <w:sectPr w:rsidSect="00B076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A7" w:rsidRPr="001C132B" w:rsidP="001C1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2B" w:rsidP="00B07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32B" w:rsidP="00B076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132B" w:rsidP="00B07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6A7" w:rsidRPr="001C132B" w:rsidP="001C1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2B" w:rsidRPr="002D2AF8" w:rsidP="00B076A7">
    <w:pPr>
      <w:pStyle w:val="Header"/>
      <w:framePr w:wrap="around"/>
    </w:pPr>
    <w:r>
      <w:fldChar w:fldCharType="begin"/>
    </w:r>
    <w:r>
      <w:instrText xml:space="preserve"> TITLE   \* MERGEFORMAT </w:instrText>
    </w:r>
    <w:r>
      <w:fldChar w:fldCharType="separate"/>
    </w:r>
    <w:r>
      <w:t>MEM26006 Mark and cut out sheets for composite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132B" w:rsidP="00B07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A9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E1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C0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6A7"/>
    <w:pPr>
      <w:spacing w:before="360" w:after="60"/>
      <w:outlineLvl w:val="0"/>
    </w:pPr>
    <w:rPr>
      <w:sz w:val="32"/>
    </w:rPr>
  </w:style>
  <w:style w:type="paragraph" w:styleId="Heading2">
    <w:name w:val="heading 2"/>
    <w:basedOn w:val="HeadingBase"/>
    <w:next w:val="BodyText"/>
    <w:link w:val="Heading2Char"/>
    <w:qFormat/>
    <w:rsid w:val="00B076A7"/>
    <w:pPr>
      <w:keepLines/>
      <w:spacing w:before="240" w:after="120"/>
      <w:outlineLvl w:val="1"/>
    </w:pPr>
    <w:rPr>
      <w:sz w:val="28"/>
      <w:szCs w:val="40"/>
    </w:rPr>
  </w:style>
  <w:style w:type="paragraph" w:styleId="Heading3">
    <w:name w:val="heading 3"/>
    <w:basedOn w:val="HeadingBase"/>
    <w:next w:val="BodyText"/>
    <w:link w:val="Heading3Char"/>
    <w:qFormat/>
    <w:rsid w:val="00B076A7"/>
    <w:pPr>
      <w:spacing w:before="180" w:after="120"/>
      <w:outlineLvl w:val="2"/>
    </w:pPr>
    <w:rPr>
      <w:spacing w:val="-10"/>
      <w:kern w:val="32"/>
    </w:rPr>
  </w:style>
  <w:style w:type="paragraph" w:styleId="Heading4">
    <w:name w:val="heading 4"/>
    <w:basedOn w:val="HeadingBase"/>
    <w:next w:val="BodyText"/>
    <w:link w:val="Heading4Char"/>
    <w:qFormat/>
    <w:rsid w:val="00B076A7"/>
    <w:pPr>
      <w:spacing w:before="160" w:after="120"/>
      <w:outlineLvl w:val="3"/>
    </w:pPr>
    <w:rPr>
      <w:sz w:val="22"/>
    </w:rPr>
  </w:style>
  <w:style w:type="paragraph" w:styleId="Heading5">
    <w:name w:val="heading 5"/>
    <w:basedOn w:val="HeadingBase"/>
    <w:next w:val="Normal"/>
    <w:link w:val="Heading5Char"/>
    <w:qFormat/>
    <w:rsid w:val="00B076A7"/>
    <w:pPr>
      <w:spacing w:before="80"/>
      <w:outlineLvl w:val="4"/>
    </w:pPr>
    <w:rPr>
      <w:color w:val="918585"/>
      <w:sz w:val="20"/>
    </w:rPr>
  </w:style>
  <w:style w:type="paragraph" w:styleId="Heading6">
    <w:name w:val="heading 6"/>
    <w:basedOn w:val="HeadingBase"/>
    <w:next w:val="Normal"/>
    <w:link w:val="Heading6Char"/>
    <w:qFormat/>
    <w:rsid w:val="00B076A7"/>
    <w:pPr>
      <w:spacing w:before="60"/>
      <w:outlineLvl w:val="5"/>
    </w:pPr>
    <w:rPr>
      <w:color w:val="918585"/>
      <w:sz w:val="20"/>
    </w:rPr>
  </w:style>
  <w:style w:type="paragraph" w:styleId="Heading7">
    <w:name w:val="heading 7"/>
    <w:basedOn w:val="Normal"/>
    <w:next w:val="Normal"/>
    <w:link w:val="Heading7Char"/>
    <w:qFormat/>
    <w:rsid w:val="00B076A7"/>
    <w:pPr>
      <w:ind w:left="720"/>
      <w:outlineLvl w:val="6"/>
    </w:pPr>
    <w:rPr>
      <w:i/>
    </w:rPr>
  </w:style>
  <w:style w:type="paragraph" w:styleId="Heading8">
    <w:name w:val="heading 8"/>
    <w:basedOn w:val="Normal"/>
    <w:next w:val="Normal"/>
    <w:link w:val="Heading8Char"/>
    <w:qFormat/>
    <w:rsid w:val="00B076A7"/>
    <w:pPr>
      <w:ind w:left="720"/>
      <w:outlineLvl w:val="7"/>
    </w:pPr>
    <w:rPr>
      <w:i/>
    </w:rPr>
  </w:style>
  <w:style w:type="paragraph" w:styleId="Heading9">
    <w:name w:val="heading 9"/>
    <w:basedOn w:val="Normal"/>
    <w:next w:val="Normal"/>
    <w:link w:val="Heading9Char"/>
    <w:qFormat/>
    <w:rsid w:val="00B076A7"/>
    <w:pPr>
      <w:ind w:left="720"/>
      <w:outlineLvl w:val="8"/>
    </w:pPr>
    <w:rPr>
      <w:i/>
    </w:rPr>
  </w:style>
  <w:style w:type="character" w:default="1" w:styleId="DefaultParagraphFont">
    <w:name w:val="Default Paragraph Font"/>
    <w:uiPriority w:val="1"/>
    <w:unhideWhenUsed/>
    <w:rsid w:val="00B07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6A7"/>
  </w:style>
  <w:style w:type="character" w:customStyle="1" w:styleId="Heading1Char">
    <w:name w:val="Heading 1 Char"/>
    <w:basedOn w:val="DefaultParagraphFont"/>
    <w:link w:val="Heading1"/>
    <w:rsid w:val="00B076A7"/>
    <w:rPr>
      <w:rFonts w:ascii="Times New Roman" w:eastAsia="Times New Roman" w:hAnsi="Times New Roman" w:cs="Times New Roman"/>
      <w:b/>
      <w:sz w:val="32"/>
      <w:szCs w:val="20"/>
      <w:lang w:eastAsia="en-US"/>
    </w:rPr>
  </w:style>
  <w:style w:type="paragraph" w:styleId="BodyText">
    <w:name w:val="Body Text"/>
    <w:basedOn w:val="Normal"/>
    <w:link w:val="BodyTextChar"/>
    <w:rsid w:val="00B07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6A7"/>
    <w:rPr>
      <w:rFonts w:ascii="Times New Roman" w:eastAsia="Times New Roman" w:hAnsi="Times New Roman" w:cs="Times New Roman"/>
      <w:sz w:val="24"/>
      <w:lang w:eastAsia="en-US"/>
    </w:rPr>
  </w:style>
  <w:style w:type="paragraph" w:styleId="ListBullet">
    <w:name w:val="List Bullet"/>
    <w:basedOn w:val="List"/>
    <w:rsid w:val="00B076A7"/>
    <w:pPr>
      <w:numPr>
        <w:numId w:val="12"/>
      </w:numPr>
      <w:tabs>
        <w:tab w:val="clear" w:pos="340"/>
      </w:tabs>
      <w:spacing w:before="40" w:after="40"/>
    </w:pPr>
  </w:style>
  <w:style w:type="character" w:customStyle="1" w:styleId="SpecialBold">
    <w:name w:val="Special Bold"/>
    <w:basedOn w:val="DefaultParagraphFont"/>
    <w:rsid w:val="00B076A7"/>
    <w:rPr>
      <w:b/>
      <w:spacing w:val="0"/>
    </w:rPr>
  </w:style>
  <w:style w:type="paragraph" w:styleId="ListBullet2">
    <w:name w:val="List Bullet 2"/>
    <w:basedOn w:val="List2"/>
    <w:rsid w:val="00B076A7"/>
    <w:pPr>
      <w:numPr>
        <w:numId w:val="13"/>
      </w:numPr>
      <w:tabs>
        <w:tab w:val="clear" w:pos="680"/>
      </w:tabs>
    </w:pPr>
  </w:style>
  <w:style w:type="paragraph" w:customStyle="1" w:styleId="SuperHeading">
    <w:name w:val="SuperHeading"/>
    <w:basedOn w:val="Normal"/>
    <w:rsid w:val="00B076A7"/>
    <w:pPr>
      <w:spacing w:before="240" w:after="120"/>
      <w:outlineLvl w:val="0"/>
    </w:pPr>
    <w:rPr>
      <w:rFonts w:ascii="Times New Roman" w:hAnsi="Times New Roman"/>
      <w:b/>
      <w:sz w:val="32"/>
    </w:rPr>
  </w:style>
  <w:style w:type="paragraph" w:customStyle="1" w:styleId="AllowPageBreak">
    <w:name w:val="AllowPageBreak"/>
    <w:rsid w:val="00B07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6A7"/>
    <w:rPr>
      <w:rFonts w:ascii="Courier New" w:eastAsia="Times New Roman" w:hAnsi="Courier New" w:cs="Times New Roman"/>
      <w:i/>
      <w:szCs w:val="20"/>
      <w:lang w:eastAsia="en-US"/>
    </w:rPr>
  </w:style>
  <w:style w:type="paragraph" w:customStyle="1" w:styleId="HeadingBase">
    <w:name w:val="Heading Base"/>
    <w:rsid w:val="00B07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6A7"/>
    <w:pPr>
      <w:tabs>
        <w:tab w:val="right" w:leader="dot" w:pos="9072"/>
      </w:tabs>
      <w:ind w:left="567"/>
    </w:pPr>
    <w:rPr>
      <w:szCs w:val="22"/>
    </w:rPr>
  </w:style>
  <w:style w:type="paragraph" w:customStyle="1" w:styleId="TOCBase">
    <w:name w:val="TOC Base"/>
    <w:rsid w:val="00B07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6A7"/>
    <w:pPr>
      <w:tabs>
        <w:tab w:val="right" w:leader="dot" w:pos="9072"/>
      </w:tabs>
      <w:spacing w:before="40" w:after="40"/>
      <w:ind w:left="284"/>
    </w:pPr>
    <w:rPr>
      <w:rFonts w:ascii="Times New Roman" w:hAnsi="Times New Roman"/>
    </w:rPr>
  </w:style>
  <w:style w:type="paragraph" w:styleId="TOC1">
    <w:name w:val="toc 1"/>
    <w:basedOn w:val="TOCBase"/>
    <w:next w:val="Normal"/>
    <w:rsid w:val="00B07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6A7"/>
    <w:rPr>
      <w:rFonts w:ascii="Times New Roman" w:eastAsia="Times New Roman" w:hAnsi="Times New Roman" w:cs="Times New Roman"/>
      <w:sz w:val="16"/>
      <w:lang w:eastAsia="en-US"/>
    </w:rPr>
  </w:style>
  <w:style w:type="paragraph" w:styleId="Title">
    <w:name w:val="Title"/>
    <w:basedOn w:val="HeadingBase"/>
    <w:link w:val="TitleChar"/>
    <w:qFormat/>
    <w:rsid w:val="00B076A7"/>
    <w:pPr>
      <w:spacing w:before="5040"/>
      <w:jc w:val="center"/>
    </w:pPr>
    <w:rPr>
      <w:sz w:val="48"/>
      <w:szCs w:val="72"/>
      <w:lang w:val="en-US"/>
    </w:rPr>
  </w:style>
  <w:style w:type="character" w:customStyle="1" w:styleId="TitleChar">
    <w:name w:val="Title Char"/>
    <w:basedOn w:val="DefaultParagraphFont"/>
    <w:link w:val="Title"/>
    <w:rsid w:val="00B07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6A7"/>
    <w:pPr>
      <w:tabs>
        <w:tab w:val="left" w:pos="3600"/>
        <w:tab w:val="left" w:pos="3958"/>
      </w:tabs>
    </w:pPr>
  </w:style>
  <w:style w:type="paragraph" w:styleId="List">
    <w:name w:val="List"/>
    <w:basedOn w:val="BodyText"/>
    <w:next w:val="BodyText"/>
    <w:rsid w:val="00B076A7"/>
    <w:pPr>
      <w:tabs>
        <w:tab w:val="left" w:pos="340"/>
      </w:tabs>
      <w:spacing w:before="60" w:after="60"/>
      <w:ind w:left="340" w:hanging="340"/>
    </w:pPr>
  </w:style>
  <w:style w:type="paragraph" w:customStyle="1" w:styleId="Note">
    <w:name w:val="Note"/>
    <w:basedOn w:val="BodyText"/>
    <w:rsid w:val="00B07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6A7"/>
    <w:pPr>
      <w:framePr w:wrap="auto" w:hAnchor="text" w:y="6049"/>
    </w:pPr>
    <w:rPr>
      <w:color w:val="000000"/>
      <w:sz w:val="40"/>
    </w:rPr>
  </w:style>
  <w:style w:type="paragraph" w:customStyle="1" w:styleId="TOCTitle">
    <w:name w:val="TOCTitle"/>
    <w:basedOn w:val="Heading1"/>
    <w:rsid w:val="00B076A7"/>
    <w:pPr>
      <w:spacing w:after="240"/>
      <w:jc w:val="center"/>
      <w:outlineLvl w:val="9"/>
    </w:pPr>
    <w:rPr>
      <w:caps/>
    </w:rPr>
  </w:style>
  <w:style w:type="paragraph" w:customStyle="1" w:styleId="Version">
    <w:name w:val="Version"/>
    <w:rsid w:val="00B07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6A7"/>
    <w:pPr>
      <w:keepNext w:val="0"/>
      <w:tabs>
        <w:tab w:val="right" w:pos="4176"/>
      </w:tabs>
      <w:ind w:left="198" w:hanging="198"/>
    </w:pPr>
    <w:rPr>
      <w:rFonts w:ascii="Garamond" w:hAnsi="Garamond"/>
    </w:rPr>
  </w:style>
  <w:style w:type="paragraph" w:styleId="IndexHeading">
    <w:name w:val="index heading"/>
    <w:basedOn w:val="Normal"/>
    <w:next w:val="Index1"/>
    <w:semiHidden/>
    <w:rsid w:val="00B076A7"/>
    <w:pPr>
      <w:spacing w:before="120" w:after="120"/>
    </w:pPr>
    <w:rPr>
      <w:rFonts w:ascii="Arial" w:hAnsi="Arial"/>
      <w:b/>
      <w:color w:val="918585"/>
      <w:sz w:val="24"/>
    </w:rPr>
  </w:style>
  <w:style w:type="paragraph" w:styleId="Header">
    <w:name w:val="header"/>
    <w:basedOn w:val="Normal"/>
    <w:link w:val="HeaderChar"/>
    <w:rsid w:val="00B07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6A7"/>
    <w:rPr>
      <w:rFonts w:ascii="Times New Roman" w:eastAsia="Times New Roman" w:hAnsi="Times New Roman" w:cs="Times New Roman"/>
      <w:sz w:val="16"/>
      <w:szCs w:val="20"/>
      <w:lang w:val="en-GB" w:eastAsia="en-US"/>
    </w:rPr>
  </w:style>
  <w:style w:type="paragraph" w:customStyle="1" w:styleId="Chapter">
    <w:name w:val="Chapter"/>
    <w:basedOn w:val="Normal"/>
    <w:rsid w:val="00B076A7"/>
    <w:pPr>
      <w:spacing w:before="240"/>
    </w:pPr>
    <w:rPr>
      <w:rFonts w:ascii="Times New Roman" w:hAnsi="Times New Roman"/>
      <w:smallCaps/>
      <w:spacing w:val="80"/>
      <w:sz w:val="28"/>
    </w:rPr>
  </w:style>
  <w:style w:type="paragraph" w:customStyle="1" w:styleId="InChapter">
    <w:name w:val="InChapter"/>
    <w:basedOn w:val="Heading3"/>
    <w:rsid w:val="00B076A7"/>
    <w:pPr>
      <w:spacing w:after="240"/>
      <w:outlineLvl w:val="9"/>
    </w:pPr>
    <w:rPr>
      <w:noProof/>
    </w:rPr>
  </w:style>
  <w:style w:type="paragraph" w:styleId="Index2">
    <w:name w:val="index 2"/>
    <w:basedOn w:val="Normal"/>
    <w:next w:val="Normal"/>
    <w:semiHidden/>
    <w:rsid w:val="00B076A7"/>
    <w:pPr>
      <w:tabs>
        <w:tab w:val="right" w:pos="4176"/>
      </w:tabs>
      <w:ind w:left="568" w:hanging="284"/>
    </w:pPr>
    <w:rPr>
      <w:rFonts w:ascii="Garamond" w:hAnsi="Garamond"/>
    </w:rPr>
  </w:style>
  <w:style w:type="paragraph" w:customStyle="1" w:styleId="Byline">
    <w:name w:val="Byline"/>
    <w:rsid w:val="00B07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6A7"/>
    <w:pPr>
      <w:tabs>
        <w:tab w:val="clear" w:pos="3600"/>
        <w:tab w:val="clear" w:pos="3958"/>
      </w:tabs>
      <w:jc w:val="right"/>
    </w:pPr>
  </w:style>
  <w:style w:type="character" w:styleId="Emphasis">
    <w:name w:val="Emphasis"/>
    <w:basedOn w:val="DefaultParagraphFont"/>
    <w:qFormat/>
    <w:rsid w:val="00B076A7"/>
    <w:rPr>
      <w:i/>
    </w:rPr>
  </w:style>
  <w:style w:type="paragraph" w:styleId="Caption">
    <w:name w:val="caption"/>
    <w:basedOn w:val="BodyText"/>
    <w:next w:val="Normal"/>
    <w:qFormat/>
    <w:rsid w:val="00B076A7"/>
    <w:pPr>
      <w:framePr w:w="2268" w:hSpace="181" w:vSpace="181" w:wrap="around" w:vAnchor="text" w:hAnchor="page" w:x="1135" w:y="285" w:anchorLock="1"/>
    </w:pPr>
    <w:rPr>
      <w:i/>
    </w:rPr>
  </w:style>
  <w:style w:type="paragraph" w:customStyle="1" w:styleId="MiniTOCTitle">
    <w:name w:val="MiniTOCTitle"/>
    <w:basedOn w:val="Heading4"/>
    <w:rsid w:val="00B076A7"/>
    <w:pPr>
      <w:spacing w:before="240"/>
      <w:outlineLvl w:val="9"/>
    </w:pPr>
    <w:rPr>
      <w:noProof/>
      <w:sz w:val="24"/>
    </w:rPr>
  </w:style>
  <w:style w:type="paragraph" w:customStyle="1" w:styleId="MiniTOCItem">
    <w:name w:val="MiniTOCItem"/>
    <w:basedOn w:val="ListBullet"/>
    <w:rsid w:val="00B076A7"/>
    <w:pPr>
      <w:numPr>
        <w:numId w:val="0"/>
      </w:numPr>
      <w:tabs>
        <w:tab w:val="right" w:leader="dot" w:pos="6521"/>
      </w:tabs>
      <w:spacing w:before="0" w:after="0"/>
    </w:pPr>
  </w:style>
  <w:style w:type="paragraph" w:customStyle="1" w:styleId="TOFTitle">
    <w:name w:val="TOFTitle"/>
    <w:basedOn w:val="TOCTitle"/>
    <w:rsid w:val="00B076A7"/>
  </w:style>
  <w:style w:type="paragraph" w:styleId="TableofFigures">
    <w:name w:val="table of figures"/>
    <w:basedOn w:val="Normal"/>
    <w:next w:val="Normal"/>
    <w:semiHidden/>
    <w:rsid w:val="00B076A7"/>
    <w:pPr>
      <w:tabs>
        <w:tab w:val="right" w:leader="dot" w:pos="9072"/>
      </w:tabs>
      <w:ind w:left="970" w:hanging="403"/>
    </w:pPr>
    <w:rPr>
      <w:rFonts w:ascii="Times New Roman" w:hAnsi="Times New Roman"/>
      <w:b/>
    </w:rPr>
  </w:style>
  <w:style w:type="paragraph" w:styleId="ListNumber">
    <w:name w:val="List Number"/>
    <w:basedOn w:val="List"/>
    <w:rsid w:val="00B076A7"/>
    <w:pPr>
      <w:numPr>
        <w:numId w:val="15"/>
      </w:numPr>
      <w:tabs>
        <w:tab w:val="clear" w:pos="340"/>
      </w:tabs>
    </w:pPr>
  </w:style>
  <w:style w:type="character" w:customStyle="1" w:styleId="WingdingSymbols">
    <w:name w:val="Wingding Symbols"/>
    <w:rsid w:val="00B076A7"/>
    <w:rPr>
      <w:rFonts w:ascii="Wingdings" w:hAnsi="Wingdings"/>
    </w:rPr>
  </w:style>
  <w:style w:type="paragraph" w:customStyle="1" w:styleId="TableHeading">
    <w:name w:val="Table Heading"/>
    <w:basedOn w:val="HeadingBase"/>
    <w:rsid w:val="00B076A7"/>
    <w:pPr>
      <w:keepLines/>
      <w:pBdr>
        <w:bottom w:val="single" w:sz="6" w:space="1" w:color="918585"/>
      </w:pBdr>
      <w:spacing w:before="240"/>
    </w:pPr>
  </w:style>
  <w:style w:type="character" w:customStyle="1" w:styleId="HotSpot">
    <w:name w:val="HotSpot"/>
    <w:rsid w:val="00B076A7"/>
    <w:rPr>
      <w:color w:val="0033CC"/>
      <w:u w:val="none"/>
    </w:rPr>
  </w:style>
  <w:style w:type="paragraph" w:customStyle="1" w:styleId="BodyTextRight">
    <w:name w:val="Body Text Right"/>
    <w:basedOn w:val="BodyText"/>
    <w:rsid w:val="00B076A7"/>
    <w:pPr>
      <w:spacing w:before="0" w:after="0"/>
      <w:jc w:val="right"/>
    </w:pPr>
  </w:style>
  <w:style w:type="paragraph" w:styleId="Index3">
    <w:name w:val="index 3"/>
    <w:basedOn w:val="ListNumber2"/>
    <w:next w:val="Normal"/>
    <w:semiHidden/>
    <w:rsid w:val="00B076A7"/>
    <w:pPr>
      <w:numPr>
        <w:numId w:val="0"/>
      </w:numPr>
      <w:tabs>
        <w:tab w:val="right" w:leader="dot" w:pos="4176"/>
      </w:tabs>
    </w:pPr>
  </w:style>
  <w:style w:type="paragraph" w:styleId="ListNumber2">
    <w:name w:val="List Number 2"/>
    <w:basedOn w:val="List2"/>
    <w:rsid w:val="00B076A7"/>
    <w:pPr>
      <w:numPr>
        <w:numId w:val="10"/>
      </w:numPr>
      <w:tabs>
        <w:tab w:val="clear" w:pos="1060"/>
      </w:tabs>
    </w:pPr>
  </w:style>
  <w:style w:type="paragraph" w:customStyle="1" w:styleId="MarginNote">
    <w:name w:val="Margin Note"/>
    <w:basedOn w:val="BodyText"/>
    <w:rsid w:val="00B07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6A7"/>
    <w:rPr>
      <w:sz w:val="32"/>
    </w:rPr>
  </w:style>
  <w:style w:type="paragraph" w:customStyle="1" w:styleId="HeadingProcedure">
    <w:name w:val="Heading Procedure"/>
    <w:basedOn w:val="HeadingBase"/>
    <w:next w:val="Normal"/>
    <w:rsid w:val="00B076A7"/>
    <w:pPr>
      <w:tabs>
        <w:tab w:val="left" w:pos="0"/>
      </w:tabs>
      <w:spacing w:before="120" w:after="60"/>
    </w:pPr>
    <w:rPr>
      <w:i/>
      <w:color w:val="918585"/>
      <w:sz w:val="22"/>
    </w:rPr>
  </w:style>
  <w:style w:type="paragraph" w:customStyle="1" w:styleId="TableBodyText">
    <w:name w:val="Table Body Text"/>
    <w:basedOn w:val="BodyText"/>
    <w:rsid w:val="00B076A7"/>
    <w:pPr>
      <w:spacing w:before="60" w:after="60"/>
    </w:pPr>
  </w:style>
  <w:style w:type="paragraph" w:styleId="ListContinue">
    <w:name w:val="List Continue"/>
    <w:basedOn w:val="List"/>
    <w:rsid w:val="00B076A7"/>
    <w:pPr>
      <w:ind w:firstLine="0"/>
    </w:pPr>
  </w:style>
  <w:style w:type="paragraph" w:customStyle="1" w:styleId="ListNote">
    <w:name w:val="List Note"/>
    <w:basedOn w:val="List"/>
    <w:rsid w:val="00B076A7"/>
    <w:pPr>
      <w:pBdr>
        <w:top w:val="single" w:sz="6" w:space="2" w:color="918585"/>
        <w:bottom w:val="single" w:sz="6" w:space="2" w:color="918585"/>
      </w:pBdr>
      <w:tabs>
        <w:tab w:val="left" w:pos="1021"/>
      </w:tabs>
      <w:ind w:firstLine="0"/>
    </w:pPr>
  </w:style>
  <w:style w:type="paragraph" w:customStyle="1" w:styleId="Warning">
    <w:name w:val="Warning"/>
    <w:basedOn w:val="BodyText"/>
    <w:rsid w:val="00B076A7"/>
    <w:pPr>
      <w:shd w:val="clear" w:color="auto" w:fill="D9D9D9"/>
      <w:tabs>
        <w:tab w:val="left" w:pos="992"/>
      </w:tabs>
      <w:ind w:left="119" w:right="119"/>
    </w:pPr>
    <w:rPr>
      <w:sz w:val="20"/>
    </w:rPr>
  </w:style>
  <w:style w:type="paragraph" w:customStyle="1" w:styleId="MarginIcons">
    <w:name w:val="Margin Icons"/>
    <w:basedOn w:val="BodyText"/>
    <w:rsid w:val="00B07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6A7"/>
    <w:rPr>
      <w:rFonts w:ascii="Courier New" w:hAnsi="Courier New"/>
    </w:rPr>
  </w:style>
  <w:style w:type="paragraph" w:customStyle="1" w:styleId="NoteBullet">
    <w:name w:val="Note Bullet"/>
    <w:basedOn w:val="Note"/>
    <w:rsid w:val="00B076A7"/>
    <w:pPr>
      <w:tabs>
        <w:tab w:val="clear" w:pos="680"/>
      </w:tabs>
      <w:spacing w:before="60" w:after="60"/>
    </w:pPr>
  </w:style>
  <w:style w:type="paragraph" w:customStyle="1" w:styleId="SubHeading2">
    <w:name w:val="SubHeading2"/>
    <w:basedOn w:val="HeadingBase"/>
    <w:rsid w:val="00B076A7"/>
    <w:pPr>
      <w:spacing w:before="240" w:after="60"/>
    </w:pPr>
    <w:rPr>
      <w:sz w:val="20"/>
    </w:rPr>
  </w:style>
  <w:style w:type="paragraph" w:customStyle="1" w:styleId="SubHeading1">
    <w:name w:val="SubHeading1"/>
    <w:basedOn w:val="HeadingBase"/>
    <w:rsid w:val="00B076A7"/>
    <w:pPr>
      <w:spacing w:before="240" w:after="60"/>
    </w:pPr>
    <w:rPr>
      <w:color w:val="918585"/>
      <w:sz w:val="22"/>
    </w:rPr>
  </w:style>
  <w:style w:type="paragraph" w:customStyle="1" w:styleId="SideHeading">
    <w:name w:val="Side Heading"/>
    <w:basedOn w:val="HeadingBase"/>
    <w:rsid w:val="00B07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6A7"/>
    <w:pPr>
      <w:tabs>
        <w:tab w:val="num" w:pos="360"/>
      </w:tabs>
    </w:pPr>
  </w:style>
  <w:style w:type="paragraph" w:styleId="PlainText">
    <w:name w:val="Plain Text"/>
    <w:basedOn w:val="Normal"/>
    <w:link w:val="PlainTextChar"/>
    <w:rsid w:val="00B076A7"/>
    <w:rPr>
      <w:sz w:val="20"/>
    </w:rPr>
  </w:style>
  <w:style w:type="character" w:customStyle="1" w:styleId="PlainTextChar">
    <w:name w:val="Plain Text Char"/>
    <w:basedOn w:val="DefaultParagraphFont"/>
    <w:link w:val="PlainText"/>
    <w:rsid w:val="00B076A7"/>
    <w:rPr>
      <w:rFonts w:ascii="Courier New" w:eastAsia="Times New Roman" w:hAnsi="Courier New" w:cs="Times New Roman"/>
      <w:sz w:val="20"/>
      <w:szCs w:val="20"/>
      <w:lang w:eastAsia="en-US"/>
    </w:rPr>
  </w:style>
  <w:style w:type="character" w:customStyle="1" w:styleId="MenuOption">
    <w:name w:val="Menu Option"/>
    <w:basedOn w:val="DefaultParagraphFont"/>
    <w:rsid w:val="00B076A7"/>
    <w:rPr>
      <w:b/>
      <w:smallCaps/>
    </w:rPr>
  </w:style>
  <w:style w:type="paragraph" w:customStyle="1" w:styleId="TableListNumber">
    <w:name w:val="Table List Number"/>
    <w:basedOn w:val="ListNumber"/>
    <w:rsid w:val="00B076A7"/>
    <w:pPr>
      <w:numPr>
        <w:numId w:val="0"/>
      </w:numPr>
    </w:pPr>
  </w:style>
  <w:style w:type="paragraph" w:styleId="TOC4">
    <w:name w:val="toc 4"/>
    <w:basedOn w:val="TOCBase"/>
    <w:next w:val="Normal"/>
    <w:semiHidden/>
    <w:rsid w:val="00B076A7"/>
    <w:pPr>
      <w:tabs>
        <w:tab w:val="right" w:leader="dot" w:pos="9071"/>
      </w:tabs>
      <w:ind w:left="1701"/>
    </w:pPr>
  </w:style>
  <w:style w:type="paragraph" w:customStyle="1" w:styleId="ListAlpha">
    <w:name w:val="List Alpha"/>
    <w:basedOn w:val="List"/>
    <w:rsid w:val="00B076A7"/>
    <w:pPr>
      <w:numPr>
        <w:numId w:val="9"/>
      </w:numPr>
    </w:pPr>
  </w:style>
  <w:style w:type="paragraph" w:customStyle="1" w:styleId="ListAlpha2">
    <w:name w:val="List Alpha 2"/>
    <w:basedOn w:val="List2"/>
    <w:rsid w:val="00B076A7"/>
    <w:pPr>
      <w:numPr>
        <w:numId w:val="8"/>
      </w:numPr>
    </w:pPr>
  </w:style>
  <w:style w:type="paragraph" w:styleId="List2">
    <w:name w:val="List 2"/>
    <w:basedOn w:val="BodyText"/>
    <w:rsid w:val="00B076A7"/>
    <w:pPr>
      <w:tabs>
        <w:tab w:val="left" w:pos="680"/>
      </w:tabs>
      <w:spacing w:before="60" w:after="60"/>
      <w:ind w:left="680" w:hanging="340"/>
    </w:pPr>
  </w:style>
  <w:style w:type="paragraph" w:styleId="List3">
    <w:name w:val="List 3"/>
    <w:basedOn w:val="BodyText"/>
    <w:rsid w:val="00B076A7"/>
    <w:pPr>
      <w:tabs>
        <w:tab w:val="left" w:pos="1021"/>
      </w:tabs>
      <w:spacing w:before="60" w:after="60"/>
      <w:ind w:left="1020" w:hanging="340"/>
    </w:pPr>
  </w:style>
  <w:style w:type="paragraph" w:styleId="List4">
    <w:name w:val="List 4"/>
    <w:basedOn w:val="BodyText"/>
    <w:rsid w:val="00B076A7"/>
    <w:pPr>
      <w:tabs>
        <w:tab w:val="left" w:pos="1361"/>
      </w:tabs>
      <w:spacing w:before="60" w:after="60"/>
      <w:ind w:left="1361" w:hanging="340"/>
    </w:pPr>
  </w:style>
  <w:style w:type="paragraph" w:styleId="List5">
    <w:name w:val="List 5"/>
    <w:basedOn w:val="BodyText"/>
    <w:rsid w:val="00B076A7"/>
    <w:pPr>
      <w:tabs>
        <w:tab w:val="left" w:pos="1701"/>
      </w:tabs>
      <w:spacing w:before="60" w:after="60"/>
      <w:ind w:left="1701" w:hanging="340"/>
    </w:pPr>
  </w:style>
  <w:style w:type="paragraph" w:styleId="ListBullet3">
    <w:name w:val="List Bullet 3"/>
    <w:basedOn w:val="List3"/>
    <w:rsid w:val="00B076A7"/>
    <w:pPr>
      <w:numPr>
        <w:numId w:val="14"/>
      </w:numPr>
      <w:tabs>
        <w:tab w:val="clear" w:pos="1021"/>
      </w:tabs>
      <w:ind w:left="1037" w:hanging="357"/>
    </w:pPr>
  </w:style>
  <w:style w:type="paragraph" w:styleId="ListBullet4">
    <w:name w:val="List Bullet 4"/>
    <w:basedOn w:val="List4"/>
    <w:rsid w:val="00B076A7"/>
    <w:pPr>
      <w:numPr>
        <w:numId w:val="3"/>
      </w:numPr>
      <w:tabs>
        <w:tab w:val="clear" w:pos="1361"/>
      </w:tabs>
    </w:pPr>
  </w:style>
  <w:style w:type="paragraph" w:styleId="ListBullet5">
    <w:name w:val="List Bullet 5"/>
    <w:basedOn w:val="List5"/>
    <w:rsid w:val="00B076A7"/>
    <w:pPr>
      <w:numPr>
        <w:numId w:val="4"/>
      </w:numPr>
    </w:pPr>
  </w:style>
  <w:style w:type="paragraph" w:styleId="ListContinue2">
    <w:name w:val="List Continue 2"/>
    <w:basedOn w:val="List2"/>
    <w:rsid w:val="00B076A7"/>
    <w:pPr>
      <w:ind w:firstLine="0"/>
    </w:pPr>
  </w:style>
  <w:style w:type="paragraph" w:styleId="ListContinue3">
    <w:name w:val="List Continue 3"/>
    <w:basedOn w:val="List3"/>
    <w:rsid w:val="00B076A7"/>
    <w:pPr>
      <w:ind w:left="1021" w:firstLine="0"/>
    </w:pPr>
  </w:style>
  <w:style w:type="paragraph" w:styleId="ListContinue4">
    <w:name w:val="List Continue 4"/>
    <w:basedOn w:val="List4"/>
    <w:rsid w:val="00B076A7"/>
    <w:pPr>
      <w:ind w:firstLine="0"/>
    </w:pPr>
  </w:style>
  <w:style w:type="paragraph" w:styleId="ListContinue5">
    <w:name w:val="List Continue 5"/>
    <w:basedOn w:val="List5"/>
    <w:rsid w:val="00B076A7"/>
    <w:pPr>
      <w:ind w:firstLine="0"/>
    </w:pPr>
  </w:style>
  <w:style w:type="paragraph" w:styleId="ListNumber3">
    <w:name w:val="List Number 3"/>
    <w:basedOn w:val="List3"/>
    <w:rsid w:val="00B076A7"/>
    <w:pPr>
      <w:numPr>
        <w:numId w:val="5"/>
      </w:numPr>
    </w:pPr>
  </w:style>
  <w:style w:type="paragraph" w:styleId="ListNumber4">
    <w:name w:val="List Number 4"/>
    <w:basedOn w:val="List4"/>
    <w:rsid w:val="00B076A7"/>
    <w:pPr>
      <w:numPr>
        <w:numId w:val="6"/>
      </w:numPr>
    </w:pPr>
  </w:style>
  <w:style w:type="paragraph" w:styleId="ListNumber5">
    <w:name w:val="List Number 5"/>
    <w:basedOn w:val="List5"/>
    <w:rsid w:val="00B076A7"/>
    <w:pPr>
      <w:numPr>
        <w:numId w:val="7"/>
      </w:numPr>
    </w:pPr>
  </w:style>
  <w:style w:type="paragraph" w:styleId="BlockText">
    <w:name w:val="Block Text"/>
    <w:basedOn w:val="Normal"/>
    <w:rsid w:val="00B076A7"/>
    <w:pPr>
      <w:spacing w:after="120"/>
      <w:ind w:left="1440" w:right="1440"/>
    </w:pPr>
  </w:style>
  <w:style w:type="character" w:customStyle="1" w:styleId="Subscript">
    <w:name w:val="Subscript"/>
    <w:basedOn w:val="DefaultParagraphFont"/>
    <w:rsid w:val="00B076A7"/>
    <w:rPr>
      <w:sz w:val="16"/>
      <w:vertAlign w:val="subscript"/>
    </w:rPr>
  </w:style>
  <w:style w:type="character" w:customStyle="1" w:styleId="Superscript">
    <w:name w:val="Superscript"/>
    <w:basedOn w:val="DefaultParagraphFont"/>
    <w:rsid w:val="00B076A7"/>
    <w:rPr>
      <w:sz w:val="16"/>
      <w:vertAlign w:val="superscript"/>
    </w:rPr>
  </w:style>
  <w:style w:type="character" w:customStyle="1" w:styleId="Symbols">
    <w:name w:val="Symbols"/>
    <w:basedOn w:val="DefaultParagraphFont"/>
    <w:rsid w:val="00B076A7"/>
    <w:rPr>
      <w:rFonts w:ascii="Symbol" w:hAnsi="Symbol"/>
    </w:rPr>
  </w:style>
  <w:style w:type="character" w:customStyle="1" w:styleId="MenuOptions">
    <w:name w:val="Menu Options"/>
    <w:basedOn w:val="DefaultParagraphFont"/>
    <w:rsid w:val="00B076A7"/>
    <w:rPr>
      <w:rFonts w:ascii="Arial Narrow" w:hAnsi="Arial Narrow"/>
      <w:smallCaps/>
    </w:rPr>
  </w:style>
  <w:style w:type="character" w:customStyle="1" w:styleId="Buttons">
    <w:name w:val="Buttons"/>
    <w:basedOn w:val="DefaultParagraphFont"/>
    <w:rsid w:val="00B076A7"/>
    <w:rPr>
      <w:b/>
    </w:rPr>
  </w:style>
  <w:style w:type="character" w:customStyle="1" w:styleId="Underlined">
    <w:name w:val="Underlined"/>
    <w:basedOn w:val="DefaultParagraphFont"/>
    <w:rsid w:val="00B076A7"/>
    <w:rPr>
      <w:u w:val="single"/>
    </w:rPr>
  </w:style>
  <w:style w:type="paragraph" w:customStyle="1" w:styleId="TableBodyTextRight">
    <w:name w:val="Table Body Text Right"/>
    <w:basedOn w:val="TableBodyText"/>
    <w:rsid w:val="00B076A7"/>
    <w:pPr>
      <w:widowControl w:val="0"/>
      <w:autoSpaceDE w:val="0"/>
      <w:autoSpaceDN w:val="0"/>
      <w:adjustRightInd w:val="0"/>
      <w:jc w:val="right"/>
    </w:pPr>
    <w:rPr>
      <w:rFonts w:cs="Arial"/>
      <w:szCs w:val="18"/>
    </w:rPr>
  </w:style>
  <w:style w:type="paragraph" w:customStyle="1" w:styleId="CopyrightText">
    <w:name w:val="Copyright Text"/>
    <w:basedOn w:val="BodyText"/>
    <w:rsid w:val="00B076A7"/>
    <w:rPr>
      <w:sz w:val="18"/>
    </w:rPr>
  </w:style>
  <w:style w:type="paragraph" w:customStyle="1" w:styleId="BodySmallRight">
    <w:name w:val="Body Small Right"/>
    <w:basedOn w:val="BodyTextRight"/>
    <w:rsid w:val="00B076A7"/>
    <w:rPr>
      <w:sz w:val="18"/>
      <w:szCs w:val="18"/>
    </w:rPr>
  </w:style>
  <w:style w:type="paragraph" w:customStyle="1" w:styleId="MarginEdition">
    <w:name w:val="Margin Edition"/>
    <w:basedOn w:val="MarginNote"/>
    <w:rsid w:val="00B076A7"/>
    <w:pPr>
      <w:spacing w:before="0" w:after="0"/>
    </w:pPr>
    <w:rPr>
      <w:rFonts w:ascii="Times New Roman" w:hAnsi="Times New Roman"/>
      <w:color w:val="999999"/>
    </w:rPr>
  </w:style>
  <w:style w:type="paragraph" w:customStyle="1" w:styleId="Spacer">
    <w:name w:val="Spacer"/>
    <w:basedOn w:val="Normal"/>
    <w:rsid w:val="00B076A7"/>
    <w:rPr>
      <w:sz w:val="2"/>
      <w:szCs w:val="2"/>
    </w:rPr>
  </w:style>
  <w:style w:type="character" w:customStyle="1" w:styleId="Small">
    <w:name w:val="Small"/>
    <w:basedOn w:val="DefaultParagraphFont"/>
    <w:rsid w:val="00B076A7"/>
    <w:rPr>
      <w:sz w:val="16"/>
    </w:rPr>
  </w:style>
  <w:style w:type="paragraph" w:customStyle="1" w:styleId="WideTable">
    <w:name w:val="Wide Table"/>
    <w:basedOn w:val="Normal"/>
    <w:rsid w:val="00B076A7"/>
    <w:pPr>
      <w:ind w:left="-1418"/>
    </w:pPr>
    <w:rPr>
      <w:sz w:val="2"/>
      <w:szCs w:val="2"/>
    </w:rPr>
  </w:style>
  <w:style w:type="character" w:styleId="PageNumber">
    <w:name w:val="page number"/>
    <w:basedOn w:val="DefaultParagraphFont"/>
    <w:rsid w:val="00B076A7"/>
  </w:style>
  <w:style w:type="paragraph" w:styleId="Quote">
    <w:name w:val="Quote"/>
    <w:basedOn w:val="Heading1"/>
    <w:link w:val="QuoteChar"/>
    <w:qFormat/>
    <w:rsid w:val="00B076A7"/>
    <w:rPr>
      <w:b w:val="0"/>
      <w:sz w:val="72"/>
      <w:szCs w:val="72"/>
      <w:lang w:val="en-NZ"/>
    </w:rPr>
  </w:style>
  <w:style w:type="character" w:customStyle="1" w:styleId="QuoteChar">
    <w:name w:val="Quote Char"/>
    <w:basedOn w:val="DefaultParagraphFont"/>
    <w:link w:val="Quote"/>
    <w:rsid w:val="00B07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6A7"/>
    <w:pPr>
      <w:pageBreakBefore/>
    </w:pPr>
  </w:style>
  <w:style w:type="paragraph" w:customStyle="1" w:styleId="Border">
    <w:name w:val="Border"/>
    <w:basedOn w:val="Normal"/>
    <w:qFormat/>
    <w:rsid w:val="00B07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6A7"/>
    <w:rPr>
      <w:b/>
      <w:bCs/>
      <w:i/>
      <w:iCs/>
      <w:color w:val="auto"/>
    </w:rPr>
  </w:style>
  <w:style w:type="paragraph" w:styleId="IntenseQuote">
    <w:name w:val="Intense Quote"/>
    <w:basedOn w:val="Normal"/>
    <w:next w:val="Normal"/>
    <w:link w:val="IntenseQuoteChar"/>
    <w:uiPriority w:val="30"/>
    <w:qFormat/>
    <w:rsid w:val="00B07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6A7"/>
    <w:rPr>
      <w:smallCaps/>
      <w:color w:val="auto"/>
      <w:u w:val="single"/>
    </w:rPr>
  </w:style>
  <w:style w:type="character" w:styleId="IntenseReference">
    <w:name w:val="Intense Reference"/>
    <w:basedOn w:val="DefaultParagraphFont"/>
    <w:uiPriority w:val="32"/>
    <w:qFormat/>
    <w:rsid w:val="00B076A7"/>
    <w:rPr>
      <w:b/>
      <w:bCs/>
      <w:smallCaps/>
      <w:color w:val="auto"/>
      <w:spacing w:val="5"/>
      <w:u w:val="single"/>
    </w:rPr>
  </w:style>
  <w:style w:type="paragraph" w:customStyle="1" w:styleId="2ColumnHeading">
    <w:name w:val="2Column Heading"/>
    <w:basedOn w:val="BodyText"/>
    <w:qFormat/>
    <w:rsid w:val="00B076A7"/>
    <w:pPr>
      <w:spacing w:after="60"/>
      <w:ind w:left="-2268"/>
    </w:pPr>
    <w:rPr>
      <w:b/>
    </w:rPr>
  </w:style>
  <w:style w:type="paragraph" w:customStyle="1" w:styleId="Heading1TOC">
    <w:name w:val="Heading1 TOC"/>
    <w:basedOn w:val="Normal"/>
    <w:qFormat/>
    <w:rsid w:val="00B076A7"/>
    <w:pPr>
      <w:spacing w:before="240" w:after="120"/>
    </w:pPr>
    <w:rPr>
      <w:rFonts w:ascii="Times New Roman" w:hAnsi="Times New Roman"/>
      <w:b/>
      <w:sz w:val="32"/>
    </w:rPr>
  </w:style>
  <w:style w:type="paragraph" w:customStyle="1" w:styleId="Heading2TOC">
    <w:name w:val="Heading2 TOC"/>
    <w:basedOn w:val="Normal"/>
    <w:qFormat/>
    <w:rsid w:val="00B076A7"/>
    <w:pPr>
      <w:spacing w:before="240" w:after="60"/>
    </w:pPr>
    <w:rPr>
      <w:rFonts w:ascii="Times New Roman" w:hAnsi="Times New Roman"/>
      <w:b/>
      <w:sz w:val="28"/>
    </w:rPr>
  </w:style>
  <w:style w:type="character" w:customStyle="1" w:styleId="Underline">
    <w:name w:val="Underline"/>
    <w:basedOn w:val="DefaultParagraphFont"/>
    <w:qFormat/>
    <w:rsid w:val="00B076A7"/>
    <w:rPr>
      <w:u w:val="single"/>
    </w:rPr>
  </w:style>
  <w:style w:type="character" w:customStyle="1" w:styleId="BoldandItalics">
    <w:name w:val="Bold and Italics"/>
    <w:qFormat/>
    <w:rsid w:val="00B076A7"/>
    <w:rPr>
      <w:b/>
      <w:i/>
      <w:u w:val="none"/>
    </w:rPr>
  </w:style>
  <w:style w:type="paragraph" w:styleId="BalloonText">
    <w:name w:val="Balloon Text"/>
    <w:basedOn w:val="Normal"/>
    <w:link w:val="BalloonTextChar"/>
    <w:rsid w:val="00B076A7"/>
    <w:rPr>
      <w:rFonts w:ascii="Tahoma" w:hAnsi="Tahoma" w:cs="Tahoma"/>
      <w:sz w:val="16"/>
      <w:szCs w:val="16"/>
    </w:rPr>
  </w:style>
  <w:style w:type="character" w:customStyle="1" w:styleId="BalloonTextChar">
    <w:name w:val="Balloon Text Char"/>
    <w:basedOn w:val="DefaultParagraphFont"/>
    <w:link w:val="BalloonText"/>
    <w:rsid w:val="00B07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6A7"/>
    <w:rPr>
      <w:b/>
      <w:color w:val="660033"/>
      <w:spacing w:val="0"/>
    </w:rPr>
  </w:style>
  <w:style w:type="paragraph" w:customStyle="1" w:styleId="Nameditemlist">
    <w:name w:val="Named item list"/>
    <w:basedOn w:val="BodyText"/>
    <w:qFormat/>
    <w:rsid w:val="00B076A7"/>
    <w:pPr>
      <w:tabs>
        <w:tab w:val="left" w:pos="2835"/>
      </w:tabs>
      <w:ind w:left="2835" w:hanging="2835"/>
    </w:pPr>
  </w:style>
  <w:style w:type="paragraph" w:customStyle="1" w:styleId="BodyTextnopadding">
    <w:name w:val="Body Text no padding"/>
    <w:basedOn w:val="BodyText"/>
    <w:qFormat/>
    <w:rsid w:val="00B076A7"/>
    <w:pPr>
      <w:spacing w:before="0" w:after="0"/>
    </w:pPr>
  </w:style>
  <w:style w:type="paragraph" w:customStyle="1" w:styleId="BodyTextBold">
    <w:name w:val="Body Text Bold"/>
    <w:basedOn w:val="BodyText"/>
    <w:qFormat/>
    <w:rsid w:val="00B076A7"/>
    <w:rPr>
      <w:b/>
    </w:rPr>
  </w:style>
  <w:style w:type="character" w:styleId="Hyperlink">
    <w:name w:val="Hyperlink"/>
    <w:basedOn w:val="DefaultParagraphFont"/>
    <w:uiPriority w:val="99"/>
    <w:unhideWhenUsed/>
    <w:rsid w:val="001C1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4673</Characters>
  <Application>Microsoft Office Word</Application>
  <DocSecurity>0</DocSecurity>
  <Lines>259</Lines>
  <Paragraphs>160</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MEM26006 Mark and cut out sheets for composite use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2023-02-03T06:26:00Z</dcterms:created>
  <dcterms:modified xsi:type="dcterms:W3CDTF">2023-02-03T06:26:00Z</dcterms:modified>
</cp:coreProperties>
</file>