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5E4" w:rsidP="00D75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MEM26003 Lay up composites using pressure closed moulding techniques</w:t>
      </w:r>
      <w:r>
        <w:fldChar w:fldCharType="end"/>
      </w:r>
    </w:p>
    <w:p w:rsidR="00D755E4" w:rsidP="00D755E4">
      <w:pPr>
        <w:pStyle w:val="Version"/>
        <w:sectPr w:rsidSect="00444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7E4" w:rsidP="004447E4">
      <w:pPr>
        <w:pStyle w:val="SuperHeading"/>
      </w:pPr>
      <w:r w:rsidRPr="004447E4">
        <w:t>Assessment Requirements for MEM26003 Lay up composites using pressure closed moulding techniques</w:t>
      </w:r>
    </w:p>
    <w:p w:rsidR="00000000" w:rsidRPr="004447E4" w:rsidP="004447E4">
      <w:pPr>
        <w:pStyle w:val="Heading1"/>
      </w:pPr>
      <w:bookmarkStart w:id="1" w:name="O_952030"/>
      <w:bookmarkEnd w:id="1"/>
      <w:r w:rsidRPr="004447E4">
        <w:t>Modification History</w:t>
      </w:r>
    </w:p>
    <w:p w:rsidR="00000000" w:rsidRPr="004447E4" w:rsidP="00D755E4">
      <w:pPr>
        <w:pStyle w:val="BodyText"/>
      </w:pPr>
      <w:r w:rsidRPr="004447E4">
        <w:t xml:space="preserve">Release 1. Supersedes and is equivalent to MEM26003A Lay up composites using pressure closed moulding techniques </w:t>
      </w:r>
    </w:p>
    <w:p w:rsidR="00000000" w:rsidRPr="004447E4" w:rsidP="004447E4">
      <w:pPr>
        <w:pStyle w:val="Heading1"/>
      </w:pPr>
      <w:bookmarkStart w:id="2" w:name="O_952033"/>
      <w:bookmarkEnd w:id="2"/>
      <w:r w:rsidRPr="004447E4">
        <w:t>Performance Evidence</w:t>
      </w:r>
    </w:p>
    <w:p w:rsidR="00000000" w:rsidRPr="004447E4" w:rsidP="00D755E4">
      <w:pPr>
        <w:pStyle w:val="BodyText"/>
      </w:pPr>
      <w:r w:rsidRPr="004447E4">
        <w:t>Evidence required to demonstrate competence in this unit must be relevant to and satisfy the requirements of the elements and performance criteria on at least two (2) occasions and include:</w:t>
      </w:r>
    </w:p>
    <w:p w:rsidR="00000000" w:rsidRPr="004447E4" w:rsidP="004447E4">
      <w:pPr>
        <w:pStyle w:val="ListBullet"/>
      </w:pPr>
      <w:r w:rsidRPr="004447E4">
        <w:t>following work instructions,</w:t>
      </w:r>
      <w:r w:rsidRPr="004447E4">
        <w:t xml:space="preserve"> standard operating procedures (SOPs) and safe work practices </w:t>
      </w:r>
    </w:p>
    <w:p w:rsidR="00000000" w:rsidRPr="004447E4" w:rsidP="004447E4">
      <w:pPr>
        <w:pStyle w:val="ListBullet"/>
      </w:pPr>
      <w:r w:rsidRPr="004447E4">
        <w:t xml:space="preserve">identifying and interpreting specifications, formulas/recipes, batch sheets, customer requests for laying up composites using pressure closed moulding techniques  </w:t>
      </w:r>
    </w:p>
    <w:p w:rsidR="00000000" w:rsidRPr="004447E4" w:rsidP="004447E4">
      <w:pPr>
        <w:pStyle w:val="ListBullet"/>
      </w:pPr>
      <w:r w:rsidRPr="004447E4">
        <w:t>applying gel coats/surface fi</w:t>
      </w:r>
      <w:r w:rsidRPr="004447E4">
        <w:t>nishes in accordance with procedures</w:t>
      </w:r>
    </w:p>
    <w:p w:rsidR="00000000" w:rsidRPr="004447E4" w:rsidP="004447E4">
      <w:pPr>
        <w:pStyle w:val="ListBullet"/>
      </w:pPr>
      <w:r w:rsidRPr="004447E4">
        <w:t>selecting and using catalyst systems for different resins and techniques</w:t>
      </w:r>
    </w:p>
    <w:p w:rsidR="00000000" w:rsidRPr="004447E4" w:rsidP="004447E4">
      <w:pPr>
        <w:pStyle w:val="ListBullet"/>
      </w:pPr>
      <w:r w:rsidRPr="004447E4">
        <w:t>achieving correct ply location and orientation and applying mastic tape and sealing bag for resin infusion and checking bag for leaks</w:t>
      </w:r>
    </w:p>
    <w:p w:rsidR="00000000" w:rsidRPr="004447E4" w:rsidP="004447E4">
      <w:pPr>
        <w:pStyle w:val="ListBullet"/>
      </w:pPr>
      <w:r w:rsidRPr="004447E4">
        <w:t>connecting r</w:t>
      </w:r>
      <w:r w:rsidRPr="004447E4">
        <w:t>esin plumbing – inlet/outlet points</w:t>
      </w:r>
    </w:p>
    <w:p w:rsidR="00000000" w:rsidRPr="004447E4" w:rsidP="004447E4">
      <w:pPr>
        <w:pStyle w:val="ListBullet"/>
      </w:pPr>
      <w:r w:rsidRPr="004447E4">
        <w:t xml:space="preserve">accessing and operating appropriate computer programs </w:t>
      </w:r>
    </w:p>
    <w:p w:rsidR="00000000" w:rsidRPr="004447E4" w:rsidP="004447E4">
      <w:pPr>
        <w:pStyle w:val="ListBullet"/>
      </w:pPr>
      <w:r w:rsidRPr="004447E4">
        <w:t>identifying and rectifying any typical problems and monitoring curing cycles</w:t>
      </w:r>
    </w:p>
    <w:p w:rsidR="00000000" w:rsidRPr="004447E4" w:rsidP="004447E4">
      <w:pPr>
        <w:pStyle w:val="ListBullet"/>
      </w:pPr>
      <w:r w:rsidRPr="004447E4">
        <w:t>undertaking minor maintenance to equipment and ancillary equipment in accordance with pr</w:t>
      </w:r>
      <w:r w:rsidRPr="004447E4">
        <w:t>ocedures</w:t>
      </w:r>
    </w:p>
    <w:p w:rsidR="00000000" w:rsidRPr="004447E4" w:rsidP="004447E4">
      <w:pPr>
        <w:pStyle w:val="ListBullet"/>
      </w:pPr>
      <w:r w:rsidRPr="004447E4">
        <w:t>minimising wastage</w:t>
      </w:r>
    </w:p>
    <w:p w:rsidR="00000000" w:rsidRPr="004447E4" w:rsidP="004447E4">
      <w:pPr>
        <w:pStyle w:val="ListBullet"/>
      </w:pPr>
      <w:r w:rsidRPr="004447E4">
        <w:t>completing all documentation and reports including items requiring further action in accordance with SOPs.</w:t>
      </w:r>
    </w:p>
    <w:p w:rsidR="00000000" w:rsidRPr="004447E4" w:rsidP="004447E4">
      <w:pPr>
        <w:pStyle w:val="AllowPageBreak"/>
      </w:pPr>
    </w:p>
    <w:p w:rsidR="00000000" w:rsidRPr="004447E4" w:rsidP="004447E4">
      <w:pPr>
        <w:pStyle w:val="Heading1"/>
      </w:pPr>
      <w:bookmarkStart w:id="3" w:name="O_952032"/>
      <w:bookmarkEnd w:id="3"/>
      <w:r w:rsidRPr="004447E4">
        <w:t>Knowledge Evidence</w:t>
      </w:r>
    </w:p>
    <w:p w:rsidR="00000000" w:rsidRPr="004447E4" w:rsidP="00D755E4">
      <w:pPr>
        <w:pStyle w:val="BodyText"/>
      </w:pPr>
      <w:r w:rsidRPr="004447E4">
        <w:t>Evidence required to demonstrate the required knowledge for this unit must be relevan</w:t>
      </w:r>
      <w:r w:rsidRPr="004447E4">
        <w:t>t to and satisfy the requirements of the elements and performance criteria and include knowledge of:</w:t>
      </w:r>
    </w:p>
    <w:p w:rsidR="00000000" w:rsidRPr="004447E4" w:rsidP="004447E4">
      <w:pPr>
        <w:pStyle w:val="ListBullet"/>
      </w:pPr>
      <w:r w:rsidRPr="004447E4">
        <w:t>safe work practices and procedures and use of personal protective equipment (PPE)</w:t>
      </w:r>
    </w:p>
    <w:p w:rsidR="00000000" w:rsidRPr="004447E4" w:rsidP="004447E4">
      <w:pPr>
        <w:pStyle w:val="ListBullet"/>
      </w:pPr>
      <w:r w:rsidRPr="004447E4">
        <w:t>current state/territory work health and safety (WHS) legislation, standa</w:t>
      </w:r>
      <w:r w:rsidRPr="004447E4">
        <w:t xml:space="preserve">rds and codes of practice relevant to using pressure closed moulding techniques  </w:t>
      </w:r>
    </w:p>
    <w:p w:rsidR="00000000" w:rsidRPr="004447E4" w:rsidP="004447E4">
      <w:pPr>
        <w:pStyle w:val="ListBullet"/>
      </w:pPr>
      <w:r w:rsidRPr="004447E4">
        <w:t>reinforcement and lay-up schedules (e.g. layers of reinforcement, direction and darts)</w:t>
      </w:r>
    </w:p>
    <w:p w:rsidR="00000000" w:rsidRPr="004447E4" w:rsidP="004447E4">
      <w:pPr>
        <w:pStyle w:val="ListBullet"/>
      </w:pPr>
      <w:r w:rsidRPr="004447E4">
        <w:t>release systems</w:t>
      </w:r>
    </w:p>
    <w:p w:rsidR="00000000" w:rsidRPr="004447E4" w:rsidP="004447E4">
      <w:pPr>
        <w:pStyle w:val="ListBullet"/>
      </w:pPr>
      <w:r w:rsidRPr="004447E4">
        <w:t>gel coating, times and working times</w:t>
      </w:r>
    </w:p>
    <w:p w:rsidR="00000000" w:rsidRPr="004447E4" w:rsidP="004447E4">
      <w:pPr>
        <w:pStyle w:val="ListBullet"/>
      </w:pPr>
      <w:r w:rsidRPr="004447E4">
        <w:t xml:space="preserve">sealing of mould </w:t>
      </w:r>
    </w:p>
    <w:p w:rsidR="00000000" w:rsidRPr="004447E4" w:rsidP="004447E4">
      <w:pPr>
        <w:pStyle w:val="ListBullet"/>
      </w:pPr>
      <w:r w:rsidRPr="004447E4">
        <w:t>tool sealing</w:t>
      </w:r>
    </w:p>
    <w:p w:rsidR="00000000" w:rsidRPr="004447E4" w:rsidP="004447E4">
      <w:pPr>
        <w:pStyle w:val="ListBullet"/>
      </w:pPr>
      <w:r w:rsidRPr="004447E4">
        <w:t>resin systems applicable to process (polyester and epoxy)</w:t>
      </w:r>
    </w:p>
    <w:p w:rsidR="00000000" w:rsidRPr="004447E4" w:rsidP="004447E4">
      <w:pPr>
        <w:pStyle w:val="ListBullet"/>
      </w:pPr>
      <w:r w:rsidRPr="004447E4">
        <w:t>pressure systems and process monitoring</w:t>
      </w:r>
    </w:p>
    <w:p w:rsidR="00000000" w:rsidRPr="004447E4" w:rsidP="004447E4">
      <w:pPr>
        <w:pStyle w:val="ListBullet"/>
      </w:pPr>
      <w:r w:rsidRPr="004447E4">
        <w:t>initiator/catalyst or hardener rates to temperature (hot/cold)</w:t>
      </w:r>
    </w:p>
    <w:p w:rsidR="00000000" w:rsidRPr="004447E4" w:rsidP="004447E4">
      <w:pPr>
        <w:pStyle w:val="ListBullet"/>
      </w:pPr>
      <w:r w:rsidRPr="004447E4">
        <w:t>free amine/amine blushes</w:t>
      </w:r>
    </w:p>
    <w:p w:rsidR="00000000" w:rsidRPr="004447E4" w:rsidP="004447E4">
      <w:pPr>
        <w:pStyle w:val="ListBullet"/>
      </w:pPr>
      <w:r w:rsidRPr="004447E4">
        <w:t>heat curing requirements and how it is done (e.g. ovens, hot bonders (</w:t>
      </w:r>
      <w:r w:rsidRPr="004447E4">
        <w:t>blankets), and autoclaves) and heat curves</w:t>
      </w:r>
    </w:p>
    <w:p w:rsidR="00000000" w:rsidRPr="004447E4" w:rsidP="004447E4">
      <w:pPr>
        <w:pStyle w:val="ListBullet"/>
      </w:pPr>
      <w:r w:rsidRPr="004447E4">
        <w:t>TG (glass transition temperature)</w:t>
      </w:r>
    </w:p>
    <w:p w:rsidR="00000000" w:rsidRPr="004447E4" w:rsidP="004447E4">
      <w:pPr>
        <w:pStyle w:val="ListBullet"/>
      </w:pPr>
      <w:r w:rsidRPr="004447E4">
        <w:t>design briefs (e.g. tool design and part lines)</w:t>
      </w:r>
    </w:p>
    <w:p w:rsidR="00000000" w:rsidRPr="004447E4" w:rsidP="004447E4">
      <w:pPr>
        <w:pStyle w:val="ListBullet"/>
      </w:pPr>
      <w:r w:rsidRPr="004447E4">
        <w:t>Darcy’s Law and its application to the flow of resins through porous media (e.g. reinforcing and cores).</w:t>
      </w:r>
    </w:p>
    <w:p w:rsidR="00000000" w:rsidRPr="004447E4" w:rsidP="004447E4">
      <w:pPr>
        <w:pStyle w:val="AllowPageBreak"/>
      </w:pPr>
    </w:p>
    <w:p w:rsidR="00000000" w:rsidRPr="004447E4" w:rsidP="004447E4">
      <w:pPr>
        <w:pStyle w:val="Heading1"/>
      </w:pPr>
      <w:bookmarkStart w:id="4" w:name="O_952031"/>
      <w:bookmarkEnd w:id="4"/>
      <w:r w:rsidRPr="004447E4">
        <w:t>Assessmen</w:t>
      </w:r>
      <w:r w:rsidRPr="004447E4">
        <w:t>t Conditions</w:t>
      </w:r>
    </w:p>
    <w:p w:rsidR="00000000" w:rsidRPr="004447E4" w:rsidP="004447E4">
      <w:pPr>
        <w:pStyle w:val="ListBullet"/>
      </w:pPr>
      <w:r w:rsidRPr="004447E4">
        <w:t>Assessors must:</w:t>
      </w:r>
    </w:p>
    <w:p w:rsidR="00000000" w:rsidRPr="004447E4" w:rsidP="004447E4">
      <w:pPr>
        <w:pStyle w:val="ListBullet2"/>
      </w:pPr>
      <w:r w:rsidRPr="004447E4">
        <w:t>have vocational competency in laying up composites using pressure closed moulding techniques at least to the level being assessed with relevant industry knowledge and experience</w:t>
      </w:r>
    </w:p>
    <w:p w:rsidR="00000000" w:rsidRPr="004447E4" w:rsidP="004447E4">
      <w:pPr>
        <w:pStyle w:val="ListBullet2"/>
      </w:pPr>
      <w:r w:rsidRPr="004447E4">
        <w:t xml:space="preserve">satisfy the assessor requirements in the </w:t>
      </w:r>
      <w:r w:rsidRPr="004447E4">
        <w:rPr>
          <w:rStyle w:val="Emphasis"/>
        </w:rPr>
        <w:t xml:space="preserve">Standards for Registered Training Organisations 2015 </w:t>
      </w:r>
      <w:r w:rsidRPr="004447E4">
        <w:t>or its replacement</w:t>
      </w:r>
      <w:r w:rsidRPr="004447E4">
        <w:rPr>
          <w:rStyle w:val="Emphasis"/>
        </w:rPr>
        <w:t xml:space="preserve"> </w:t>
      </w:r>
      <w:r w:rsidRPr="004447E4">
        <w:t xml:space="preserve">and comply with the </w:t>
      </w:r>
      <w:r w:rsidRPr="004447E4">
        <w:rPr>
          <w:rStyle w:val="Emphasis"/>
        </w:rPr>
        <w:t xml:space="preserve">National Vocational Education and Training Regulator Act 2011, </w:t>
      </w:r>
      <w:r w:rsidRPr="004447E4">
        <w:t>its replacement</w:t>
      </w:r>
      <w:r w:rsidRPr="004447E4">
        <w:rPr>
          <w:rStyle w:val="Emphasis"/>
        </w:rPr>
        <w:t xml:space="preserve"> </w:t>
      </w:r>
      <w:r w:rsidRPr="004447E4">
        <w:t xml:space="preserve">or equivalent legislation covering VET regulation in a non-referring state/territory </w:t>
      </w:r>
      <w:r w:rsidRPr="004447E4">
        <w:t>as the case requires</w:t>
      </w:r>
    </w:p>
    <w:p w:rsidR="00000000" w:rsidRPr="004447E4" w:rsidP="004447E4">
      <w:pPr>
        <w:pStyle w:val="ListBullet"/>
      </w:pPr>
      <w:r w:rsidRPr="004447E4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4447E4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4447E4" w:rsidP="004447E4">
      <w:pPr>
        <w:pStyle w:val="ListBullet"/>
      </w:pPr>
      <w:r w:rsidRPr="004447E4">
        <w:t>Conditions fo</w:t>
      </w:r>
      <w:r w:rsidRPr="004447E4">
        <w:t>r assessment must include access to all tools, equipment, materials and documentation required, including relevant workplace procedures, product and manufacturing specifications</w:t>
      </w:r>
    </w:p>
    <w:p w:rsidR="00000000" w:rsidRPr="004447E4" w:rsidP="004447E4">
      <w:pPr>
        <w:pStyle w:val="ListBullet"/>
      </w:pPr>
      <w:r w:rsidRPr="004447E4">
        <w:t>Assessment processes and techniques must be appropriate to the language, liter</w:t>
      </w:r>
      <w:r w:rsidRPr="004447E4">
        <w:t>acy and numeracy requirements of the work being performed and the needs of the candidate.</w:t>
      </w:r>
    </w:p>
    <w:p w:rsidR="00000000" w:rsidRPr="004447E4" w:rsidP="004447E4">
      <w:pPr>
        <w:pStyle w:val="AllowPageBreak"/>
      </w:pPr>
    </w:p>
    <w:p w:rsidR="00000000" w:rsidRPr="004447E4" w:rsidP="004447E4">
      <w:pPr>
        <w:pStyle w:val="Heading1"/>
      </w:pPr>
      <w:bookmarkStart w:id="5" w:name="O_952029"/>
      <w:bookmarkEnd w:id="5"/>
      <w:r w:rsidRPr="004447E4">
        <w:t>Links</w:t>
      </w:r>
    </w:p>
    <w:p w:rsidR="00000000" w:rsidRPr="004447E4" w:rsidP="00D755E4">
      <w:pPr>
        <w:pStyle w:val="BodyText"/>
      </w:pPr>
      <w:r w:rsidRPr="004447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5B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47E4" w:rsidP="004447E4"/>
    <w:sectPr w:rsidSect="00444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7E4" w:rsidRPr="00D755E4" w:rsidP="00D75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E4" w:rsidP="00444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5E4" w:rsidP="00444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55E4" w:rsidP="00444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7E4" w:rsidRPr="00D755E4" w:rsidP="00D75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E4" w:rsidRPr="002D2AF8" w:rsidP="00444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MEM26003 Lay up composites using pressure closed moulding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755E4" w:rsidP="00444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927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27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C3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7E4"/>
  </w:style>
  <w:style w:type="character" w:customStyle="1" w:styleId="Heading1Char">
    <w:name w:val="Heading 1 Char"/>
    <w:basedOn w:val="DefaultParagraphFont"/>
    <w:link w:val="Heading1"/>
    <w:rsid w:val="00444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7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7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47E4"/>
    <w:rPr>
      <w:i/>
    </w:rPr>
  </w:style>
  <w:style w:type="paragraph" w:customStyle="1" w:styleId="SuperHeading">
    <w:name w:val="SuperHeading"/>
    <w:basedOn w:val="Normal"/>
    <w:rsid w:val="00444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7E4"/>
    <w:rPr>
      <w:b/>
      <w:spacing w:val="0"/>
    </w:rPr>
  </w:style>
  <w:style w:type="paragraph" w:customStyle="1" w:styleId="SuperTitle">
    <w:name w:val="SuperTitle"/>
    <w:basedOn w:val="Title"/>
    <w:rsid w:val="00444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7E4"/>
  </w:style>
  <w:style w:type="paragraph" w:styleId="TableofFigures">
    <w:name w:val="table of figures"/>
    <w:basedOn w:val="Normal"/>
    <w:next w:val="Normal"/>
    <w:semiHidden/>
    <w:rsid w:val="00444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7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7E4"/>
    <w:rPr>
      <w:rFonts w:ascii="Wingdings" w:hAnsi="Wingdings"/>
    </w:rPr>
  </w:style>
  <w:style w:type="paragraph" w:customStyle="1" w:styleId="TableHeading">
    <w:name w:val="Table Heading"/>
    <w:basedOn w:val="HeadingBase"/>
    <w:rsid w:val="00444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7E4"/>
    <w:rPr>
      <w:color w:val="0033CC"/>
      <w:u w:val="none"/>
    </w:rPr>
  </w:style>
  <w:style w:type="paragraph" w:customStyle="1" w:styleId="BodyTextRight">
    <w:name w:val="Body Text Right"/>
    <w:basedOn w:val="BodyText"/>
    <w:rsid w:val="00444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7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7E4"/>
    <w:rPr>
      <w:sz w:val="32"/>
    </w:rPr>
  </w:style>
  <w:style w:type="paragraph" w:customStyle="1" w:styleId="HeadingProcedure">
    <w:name w:val="Heading Procedure"/>
    <w:basedOn w:val="HeadingBase"/>
    <w:next w:val="Normal"/>
    <w:rsid w:val="00444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7E4"/>
    <w:pPr>
      <w:spacing w:before="60" w:after="60"/>
    </w:pPr>
  </w:style>
  <w:style w:type="paragraph" w:styleId="ListContinue">
    <w:name w:val="List Continue"/>
    <w:basedOn w:val="List"/>
    <w:rsid w:val="004447E4"/>
    <w:pPr>
      <w:ind w:firstLine="0"/>
    </w:pPr>
  </w:style>
  <w:style w:type="paragraph" w:customStyle="1" w:styleId="ListNote">
    <w:name w:val="List Note"/>
    <w:basedOn w:val="List"/>
    <w:rsid w:val="00444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7E4"/>
    <w:rPr>
      <w:rFonts w:ascii="Courier New" w:hAnsi="Courier New"/>
    </w:rPr>
  </w:style>
  <w:style w:type="paragraph" w:customStyle="1" w:styleId="NoteBullet">
    <w:name w:val="Note Bullet"/>
    <w:basedOn w:val="Note"/>
    <w:rsid w:val="00444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7E4"/>
    <w:rPr>
      <w:b/>
      <w:smallCaps/>
    </w:rPr>
  </w:style>
  <w:style w:type="paragraph" w:customStyle="1" w:styleId="TableListNumber">
    <w:name w:val="Table List Number"/>
    <w:basedOn w:val="ListNumber"/>
    <w:rsid w:val="00444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7E4"/>
    <w:pPr>
      <w:numPr>
        <w:numId w:val="9"/>
      </w:numPr>
    </w:pPr>
  </w:style>
  <w:style w:type="paragraph" w:customStyle="1" w:styleId="ListAlpha2">
    <w:name w:val="List Alpha 2"/>
    <w:basedOn w:val="List2"/>
    <w:rsid w:val="004447E4"/>
    <w:pPr>
      <w:numPr>
        <w:numId w:val="8"/>
      </w:numPr>
    </w:pPr>
  </w:style>
  <w:style w:type="paragraph" w:styleId="List2">
    <w:name w:val="List 2"/>
    <w:basedOn w:val="BodyText"/>
    <w:rsid w:val="00444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7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7E4"/>
    <w:pPr>
      <w:numPr>
        <w:numId w:val="4"/>
      </w:numPr>
    </w:pPr>
  </w:style>
  <w:style w:type="paragraph" w:styleId="ListContinue2">
    <w:name w:val="List Continue 2"/>
    <w:basedOn w:val="List2"/>
    <w:rsid w:val="004447E4"/>
    <w:pPr>
      <w:ind w:firstLine="0"/>
    </w:pPr>
  </w:style>
  <w:style w:type="paragraph" w:styleId="ListContinue3">
    <w:name w:val="List Continue 3"/>
    <w:basedOn w:val="List3"/>
    <w:rsid w:val="004447E4"/>
    <w:pPr>
      <w:ind w:left="1021" w:firstLine="0"/>
    </w:pPr>
  </w:style>
  <w:style w:type="paragraph" w:styleId="ListContinue4">
    <w:name w:val="List Continue 4"/>
    <w:basedOn w:val="List4"/>
    <w:rsid w:val="004447E4"/>
    <w:pPr>
      <w:ind w:firstLine="0"/>
    </w:pPr>
  </w:style>
  <w:style w:type="paragraph" w:styleId="ListContinue5">
    <w:name w:val="List Continue 5"/>
    <w:basedOn w:val="List5"/>
    <w:rsid w:val="004447E4"/>
    <w:pPr>
      <w:ind w:firstLine="0"/>
    </w:pPr>
  </w:style>
  <w:style w:type="paragraph" w:styleId="ListNumber3">
    <w:name w:val="List Number 3"/>
    <w:basedOn w:val="List3"/>
    <w:rsid w:val="004447E4"/>
    <w:pPr>
      <w:numPr>
        <w:numId w:val="5"/>
      </w:numPr>
    </w:pPr>
  </w:style>
  <w:style w:type="paragraph" w:styleId="ListNumber4">
    <w:name w:val="List Number 4"/>
    <w:basedOn w:val="List4"/>
    <w:rsid w:val="004447E4"/>
    <w:pPr>
      <w:numPr>
        <w:numId w:val="6"/>
      </w:numPr>
    </w:pPr>
  </w:style>
  <w:style w:type="paragraph" w:styleId="ListNumber5">
    <w:name w:val="List Number 5"/>
    <w:basedOn w:val="List5"/>
    <w:rsid w:val="004447E4"/>
    <w:pPr>
      <w:numPr>
        <w:numId w:val="7"/>
      </w:numPr>
    </w:pPr>
  </w:style>
  <w:style w:type="paragraph" w:styleId="BlockText">
    <w:name w:val="Block Text"/>
    <w:basedOn w:val="Normal"/>
    <w:rsid w:val="00444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7E4"/>
    <w:rPr>
      <w:sz w:val="16"/>
      <w:vertAlign w:val="superscript"/>
    </w:rPr>
  </w:style>
  <w:style w:type="character" w:customStyle="1" w:styleId="Symbols">
    <w:name w:val="Symbols"/>
    <w:basedOn w:val="DefaultParagraphFont"/>
    <w:rsid w:val="004447E4"/>
    <w:rPr>
      <w:rFonts w:ascii="Symbol" w:hAnsi="Symbol"/>
    </w:rPr>
  </w:style>
  <w:style w:type="character" w:customStyle="1" w:styleId="MenuOptions">
    <w:name w:val="Menu Options"/>
    <w:basedOn w:val="DefaultParagraphFont"/>
    <w:rsid w:val="00444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7E4"/>
    <w:rPr>
      <w:b/>
    </w:rPr>
  </w:style>
  <w:style w:type="character" w:customStyle="1" w:styleId="Underlined">
    <w:name w:val="Underlined"/>
    <w:basedOn w:val="DefaultParagraphFont"/>
    <w:rsid w:val="004447E4"/>
    <w:rPr>
      <w:u w:val="single"/>
    </w:rPr>
  </w:style>
  <w:style w:type="paragraph" w:customStyle="1" w:styleId="TableBodyTextRight">
    <w:name w:val="Table Body Text Right"/>
    <w:basedOn w:val="TableBodyText"/>
    <w:rsid w:val="00444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7E4"/>
    <w:rPr>
      <w:sz w:val="18"/>
    </w:rPr>
  </w:style>
  <w:style w:type="paragraph" w:customStyle="1" w:styleId="BodySmallRight">
    <w:name w:val="Body Small Right"/>
    <w:basedOn w:val="BodyTextRight"/>
    <w:rsid w:val="004447E4"/>
    <w:rPr>
      <w:sz w:val="18"/>
      <w:szCs w:val="18"/>
    </w:rPr>
  </w:style>
  <w:style w:type="paragraph" w:customStyle="1" w:styleId="MarginEdition">
    <w:name w:val="Margin Edition"/>
    <w:basedOn w:val="MarginNote"/>
    <w:rsid w:val="00444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7E4"/>
    <w:rPr>
      <w:sz w:val="2"/>
      <w:szCs w:val="2"/>
    </w:rPr>
  </w:style>
  <w:style w:type="character" w:customStyle="1" w:styleId="Small">
    <w:name w:val="Small"/>
    <w:basedOn w:val="DefaultParagraphFont"/>
    <w:rsid w:val="004447E4"/>
    <w:rPr>
      <w:sz w:val="16"/>
    </w:rPr>
  </w:style>
  <w:style w:type="paragraph" w:customStyle="1" w:styleId="WideTable">
    <w:name w:val="Wide Table"/>
    <w:basedOn w:val="Normal"/>
    <w:rsid w:val="00444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7E4"/>
  </w:style>
  <w:style w:type="paragraph" w:styleId="Quote">
    <w:name w:val="Quote"/>
    <w:basedOn w:val="Heading1"/>
    <w:link w:val="QuoteChar"/>
    <w:qFormat/>
    <w:rsid w:val="00444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7E4"/>
    <w:pPr>
      <w:pageBreakBefore/>
    </w:pPr>
  </w:style>
  <w:style w:type="paragraph" w:customStyle="1" w:styleId="Border">
    <w:name w:val="Border"/>
    <w:basedOn w:val="Normal"/>
    <w:qFormat/>
    <w:rsid w:val="00444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7E4"/>
    <w:rPr>
      <w:u w:val="single"/>
    </w:rPr>
  </w:style>
  <w:style w:type="character" w:customStyle="1" w:styleId="BoldandItalics">
    <w:name w:val="Bold and Italics"/>
    <w:qFormat/>
    <w:rsid w:val="004447E4"/>
    <w:rPr>
      <w:b/>
      <w:i/>
      <w:u w:val="none"/>
    </w:rPr>
  </w:style>
  <w:style w:type="paragraph" w:styleId="BalloonText">
    <w:name w:val="Balloon Text"/>
    <w:basedOn w:val="Normal"/>
    <w:link w:val="BalloonTextChar"/>
    <w:rsid w:val="00444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7E4"/>
    <w:pPr>
      <w:spacing w:before="0" w:after="0"/>
    </w:pPr>
  </w:style>
  <w:style w:type="paragraph" w:customStyle="1" w:styleId="BodyTextBold">
    <w:name w:val="Body Text Bold"/>
    <w:basedOn w:val="BodyText"/>
    <w:qFormat/>
    <w:rsid w:val="004447E4"/>
    <w:rPr>
      <w:b/>
    </w:rPr>
  </w:style>
  <w:style w:type="character" w:styleId="Hyperlink">
    <w:name w:val="Hyperlink"/>
    <w:basedOn w:val="DefaultParagraphFont"/>
    <w:uiPriority w:val="99"/>
    <w:unhideWhenUsed/>
    <w:rsid w:val="00D75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3715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MEM26003 Lay up composites using pressure closed moulding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