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7CE8" w:rsidP="00617C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MEM26002 Lay up composites using vacuum closed moulding techniques</w:t>
      </w:r>
      <w:r>
        <w:fldChar w:fldCharType="end"/>
      </w:r>
    </w:p>
    <w:p w:rsidR="00617CE8" w:rsidP="00617CE8">
      <w:pPr>
        <w:pStyle w:val="Version"/>
        <w:sectPr w:rsidSect="00451D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DC4" w:rsidP="00451DC4">
      <w:pPr>
        <w:pStyle w:val="SuperHeading"/>
      </w:pPr>
      <w:r w:rsidRPr="00451DC4">
        <w:t>Assessment Requirements for MEM26002 Lay up composites using vacuum closed moulding techniques</w:t>
      </w:r>
    </w:p>
    <w:p w:rsidR="00000000" w:rsidRPr="00451DC4" w:rsidP="00451DC4">
      <w:pPr>
        <w:pStyle w:val="Heading1"/>
      </w:pPr>
      <w:bookmarkStart w:id="1" w:name="O_952011"/>
      <w:bookmarkEnd w:id="1"/>
      <w:r w:rsidRPr="00451DC4">
        <w:t>Modification History</w:t>
      </w:r>
    </w:p>
    <w:p w:rsidR="00000000" w:rsidRPr="00451DC4" w:rsidP="00617CE8">
      <w:pPr>
        <w:pStyle w:val="BodyText"/>
      </w:pPr>
      <w:r w:rsidRPr="00451DC4">
        <w:t xml:space="preserve">Release 1. Supersedes and is equivalent to MEM26002A Lay up composites using vacuum closed moulding techniques </w:t>
      </w:r>
    </w:p>
    <w:p w:rsidR="00000000" w:rsidRPr="00451DC4" w:rsidP="00451DC4">
      <w:pPr>
        <w:pStyle w:val="Heading1"/>
      </w:pPr>
      <w:bookmarkStart w:id="2" w:name="O_952014"/>
      <w:bookmarkEnd w:id="2"/>
      <w:r w:rsidRPr="00451DC4">
        <w:t>Performance Evidence</w:t>
      </w:r>
    </w:p>
    <w:p w:rsidR="00000000" w:rsidRPr="00451DC4" w:rsidP="00617CE8">
      <w:pPr>
        <w:pStyle w:val="BodyText"/>
      </w:pPr>
      <w:r w:rsidRPr="00451DC4">
        <w:t>Evidence required to demonstrate competence in this unit must be relevant to and satisfy the requirements of the elements and performance criteria on at least two (2) occasions and include:</w:t>
      </w:r>
    </w:p>
    <w:p w:rsidR="00000000" w:rsidRPr="00451DC4" w:rsidP="00451DC4">
      <w:pPr>
        <w:pStyle w:val="ListBullet"/>
      </w:pPr>
      <w:r w:rsidRPr="00451DC4">
        <w:t>following work instructions, standar</w:t>
      </w:r>
      <w:r w:rsidRPr="00451DC4">
        <w:t xml:space="preserve">d operating procedures (SOPs) and safe work practices </w:t>
      </w:r>
    </w:p>
    <w:p w:rsidR="00000000" w:rsidRPr="00451DC4" w:rsidP="00451DC4">
      <w:pPr>
        <w:pStyle w:val="ListBullet"/>
      </w:pPr>
      <w:r w:rsidRPr="00451DC4">
        <w:t xml:space="preserve">identifying and interpreting specifications, formulas/recipes, batch sheets, customer requests for laying up composites using vacuum closed moulding techniques  </w:t>
      </w:r>
    </w:p>
    <w:p w:rsidR="00000000" w:rsidRPr="00451DC4" w:rsidP="00451DC4">
      <w:pPr>
        <w:pStyle w:val="ListBullet"/>
      </w:pPr>
      <w:r w:rsidRPr="00451DC4">
        <w:t>selecting appropriate closed moulding t</w:t>
      </w:r>
      <w:r w:rsidRPr="00451DC4">
        <w:t>echniques in accordance with specifications and procedures</w:t>
      </w:r>
    </w:p>
    <w:p w:rsidR="00000000" w:rsidRPr="00451DC4" w:rsidP="00451DC4">
      <w:pPr>
        <w:pStyle w:val="ListBullet"/>
      </w:pPr>
      <w:r w:rsidRPr="00451DC4">
        <w:t>introducing resin infusion into mould by applying the following:</w:t>
      </w:r>
    </w:p>
    <w:p w:rsidR="00000000" w:rsidRPr="00451DC4" w:rsidP="00451DC4">
      <w:pPr>
        <w:pStyle w:val="ListBullet2"/>
      </w:pPr>
      <w:r w:rsidRPr="00451DC4">
        <w:t>tack tape</w:t>
      </w:r>
    </w:p>
    <w:p w:rsidR="00000000" w:rsidRPr="00451DC4" w:rsidP="00451DC4">
      <w:pPr>
        <w:pStyle w:val="ListBullet2"/>
      </w:pPr>
      <w:r w:rsidRPr="00451DC4">
        <w:t>bag (pleats and sits well)</w:t>
      </w:r>
    </w:p>
    <w:p w:rsidR="00000000" w:rsidRPr="00451DC4" w:rsidP="00451DC4">
      <w:pPr>
        <w:pStyle w:val="ListBullet2"/>
      </w:pPr>
      <w:r w:rsidRPr="00451DC4">
        <w:t>inlet and outlet plumbing (connect/disconnect)</w:t>
      </w:r>
    </w:p>
    <w:p w:rsidR="00000000" w:rsidRPr="00451DC4" w:rsidP="00451DC4">
      <w:pPr>
        <w:pStyle w:val="ListBullet2"/>
      </w:pPr>
      <w:r w:rsidRPr="00451DC4">
        <w:t xml:space="preserve">managing flow medium (e.g. cloth), cores, flow </w:t>
      </w:r>
      <w:r w:rsidRPr="00451DC4">
        <w:t>and gel times (relationship to positioning and spacing of lines)</w:t>
      </w:r>
    </w:p>
    <w:p w:rsidR="00000000" w:rsidRPr="00451DC4" w:rsidP="00451DC4">
      <w:pPr>
        <w:pStyle w:val="ListBullet2"/>
      </w:pPr>
      <w:r w:rsidRPr="00451DC4">
        <w:t>managing and monitoring vacuum pressure</w:t>
      </w:r>
    </w:p>
    <w:p w:rsidR="00000000" w:rsidRPr="00451DC4" w:rsidP="00451DC4">
      <w:pPr>
        <w:pStyle w:val="ListBullet2"/>
      </w:pPr>
      <w:r w:rsidRPr="00451DC4">
        <w:t>monitoring cure cycles</w:t>
      </w:r>
    </w:p>
    <w:p w:rsidR="00000000" w:rsidRPr="00451DC4" w:rsidP="00451DC4">
      <w:pPr>
        <w:pStyle w:val="ListBullet2"/>
      </w:pPr>
      <w:r w:rsidRPr="00451DC4">
        <w:t>checking for leaks</w:t>
      </w:r>
    </w:p>
    <w:p w:rsidR="00000000" w:rsidRPr="00451DC4" w:rsidP="00451DC4">
      <w:pPr>
        <w:pStyle w:val="ListBullet"/>
      </w:pPr>
      <w:r w:rsidRPr="00451DC4">
        <w:t>performing vacuum bagging by applying the following:</w:t>
      </w:r>
    </w:p>
    <w:p w:rsidR="00000000" w:rsidRPr="00451DC4" w:rsidP="00451DC4">
      <w:pPr>
        <w:pStyle w:val="ListBullet2"/>
      </w:pPr>
      <w:r w:rsidRPr="00451DC4">
        <w:t>resin infusion data and protect bag from contamination</w:t>
      </w:r>
    </w:p>
    <w:p w:rsidR="00000000" w:rsidRPr="00451DC4" w:rsidP="00451DC4">
      <w:pPr>
        <w:pStyle w:val="ListBullet2"/>
      </w:pPr>
      <w:r w:rsidRPr="00451DC4">
        <w:t>breather cloth/films</w:t>
      </w:r>
    </w:p>
    <w:p w:rsidR="00000000" w:rsidRPr="00451DC4" w:rsidP="00451DC4">
      <w:pPr>
        <w:pStyle w:val="ListBullet2"/>
      </w:pPr>
      <w:r w:rsidRPr="00451DC4">
        <w:t>peel ply and achieving correct ply location and orientation</w:t>
      </w:r>
    </w:p>
    <w:p w:rsidR="00000000" w:rsidRPr="00451DC4" w:rsidP="00451DC4">
      <w:pPr>
        <w:pStyle w:val="ListBullet"/>
      </w:pPr>
      <w:r w:rsidRPr="00451DC4">
        <w:t>identifying and rectifying any typical problems and monitoring curing cycles</w:t>
      </w:r>
    </w:p>
    <w:p w:rsidR="00000000" w:rsidRPr="00451DC4" w:rsidP="00451DC4">
      <w:pPr>
        <w:pStyle w:val="ListBullet"/>
      </w:pPr>
      <w:r w:rsidRPr="00451DC4">
        <w:t>undertaking minor maintenance to equipment and ancillary equipment in accordance with procedures</w:t>
      </w:r>
    </w:p>
    <w:p w:rsidR="00000000" w:rsidRPr="00451DC4" w:rsidP="00451DC4">
      <w:pPr>
        <w:pStyle w:val="ListBullet"/>
      </w:pPr>
      <w:r w:rsidRPr="00451DC4">
        <w:t>minimising wastage</w:t>
      </w:r>
    </w:p>
    <w:p w:rsidR="00000000" w:rsidRPr="00451DC4" w:rsidP="00451DC4">
      <w:pPr>
        <w:pStyle w:val="ListBullet"/>
      </w:pPr>
      <w:r w:rsidRPr="00451DC4">
        <w:t>completing all documentation and reports, including items requiring further action, in accordance with SOPs.</w:t>
      </w:r>
    </w:p>
    <w:p w:rsidR="00000000" w:rsidRPr="00451DC4" w:rsidP="00451DC4">
      <w:pPr>
        <w:pStyle w:val="AllowPageBreak"/>
      </w:pPr>
    </w:p>
    <w:p w:rsidR="00000000" w:rsidRPr="00451DC4" w:rsidP="00451DC4">
      <w:pPr>
        <w:pStyle w:val="Heading1"/>
      </w:pPr>
      <w:bookmarkStart w:id="3" w:name="O_952013"/>
      <w:bookmarkEnd w:id="3"/>
      <w:r w:rsidRPr="00451DC4">
        <w:t>Knowledge Evidence</w:t>
      </w:r>
    </w:p>
    <w:p w:rsidR="00000000" w:rsidRPr="00451DC4" w:rsidP="00617CE8">
      <w:pPr>
        <w:pStyle w:val="BodyText"/>
      </w:pPr>
      <w:r w:rsidRPr="00451DC4">
        <w:t>Evidence required to demonstrate the required knowledge for this unit must be relevant to a</w:t>
      </w:r>
      <w:r w:rsidRPr="00451DC4">
        <w:t>nd satisfy the requirements of the elements and performance criteria and include knowledge of:</w:t>
      </w:r>
    </w:p>
    <w:p w:rsidR="00000000" w:rsidRPr="00451DC4" w:rsidP="00451DC4">
      <w:pPr>
        <w:pStyle w:val="ListBullet"/>
      </w:pPr>
      <w:r w:rsidRPr="00451DC4">
        <w:t>safe work practices and procedures and use of personal protective equipment (PPE)</w:t>
      </w:r>
    </w:p>
    <w:p w:rsidR="00000000" w:rsidRPr="00451DC4" w:rsidP="00451DC4">
      <w:pPr>
        <w:pStyle w:val="ListBullet"/>
      </w:pPr>
      <w:r w:rsidRPr="00451DC4">
        <w:t xml:space="preserve">current state/territory work health and safety (WHS) legislation, standards and codes of practice relevant to using vacuum closed moulding techniques  </w:t>
      </w:r>
    </w:p>
    <w:p w:rsidR="00000000" w:rsidRPr="00451DC4" w:rsidP="00451DC4">
      <w:pPr>
        <w:pStyle w:val="ListBullet"/>
      </w:pPr>
      <w:r w:rsidRPr="00451DC4">
        <w:t>reinforcement and lay-up schedules (e.g. layers of reinforcement, direction and darts)</w:t>
      </w:r>
    </w:p>
    <w:p w:rsidR="00000000" w:rsidRPr="00451DC4" w:rsidP="00451DC4">
      <w:pPr>
        <w:pStyle w:val="ListBullet"/>
      </w:pPr>
      <w:r w:rsidRPr="00451DC4">
        <w:t>release systems a</w:t>
      </w:r>
      <w:r w:rsidRPr="00451DC4">
        <w:t>nd processes</w:t>
      </w:r>
    </w:p>
    <w:p w:rsidR="00000000" w:rsidRPr="00451DC4" w:rsidP="00451DC4">
      <w:pPr>
        <w:pStyle w:val="ListBullet"/>
      </w:pPr>
      <w:r w:rsidRPr="00451DC4">
        <w:t>tool sealing</w:t>
      </w:r>
    </w:p>
    <w:p w:rsidR="00000000" w:rsidRPr="00451DC4" w:rsidP="00451DC4">
      <w:pPr>
        <w:pStyle w:val="ListBullet"/>
      </w:pPr>
      <w:r w:rsidRPr="00451DC4">
        <w:t>gel coating, times and working times</w:t>
      </w:r>
    </w:p>
    <w:p w:rsidR="00000000" w:rsidRPr="00451DC4" w:rsidP="00451DC4">
      <w:pPr>
        <w:pStyle w:val="ListBullet"/>
      </w:pPr>
      <w:r w:rsidRPr="00451DC4">
        <w:t>sealing of mould (use of tack tape (e.g. butyl (or other) mastic and mechanical seals and clamps)</w:t>
      </w:r>
    </w:p>
    <w:p w:rsidR="00000000" w:rsidRPr="00451DC4" w:rsidP="00451DC4">
      <w:pPr>
        <w:pStyle w:val="ListBullet"/>
      </w:pPr>
      <w:r w:rsidRPr="00451DC4">
        <w:t>vacuum and vacuum systems, adjustment and measurement, and vacuum control (e.g. switches, contr</w:t>
      </w:r>
      <w:r w:rsidRPr="00451DC4">
        <w:t>ols and regulators)</w:t>
      </w:r>
    </w:p>
    <w:p w:rsidR="00000000" w:rsidRPr="00451DC4" w:rsidP="00451DC4">
      <w:pPr>
        <w:pStyle w:val="ListBullet"/>
      </w:pPr>
      <w:r w:rsidRPr="00451DC4">
        <w:t>resin systems applicable to process (e.g. vacuum infusion or vacuum bagging – polyester and epoxy)</w:t>
      </w:r>
    </w:p>
    <w:p w:rsidR="00000000" w:rsidRPr="00451DC4" w:rsidP="00451DC4">
      <w:pPr>
        <w:pStyle w:val="ListBullet"/>
      </w:pPr>
      <w:r w:rsidRPr="00451DC4">
        <w:t>initiator/catalyst or hardener rates to temperature (hot/cold)</w:t>
      </w:r>
    </w:p>
    <w:p w:rsidR="00000000" w:rsidRPr="00451DC4" w:rsidP="00451DC4">
      <w:pPr>
        <w:pStyle w:val="ListBullet"/>
      </w:pPr>
      <w:r w:rsidRPr="00451DC4">
        <w:t>free amine/amine blushes</w:t>
      </w:r>
    </w:p>
    <w:p w:rsidR="00000000" w:rsidRPr="00451DC4" w:rsidP="00451DC4">
      <w:pPr>
        <w:pStyle w:val="ListBullet"/>
      </w:pPr>
      <w:r w:rsidRPr="00451DC4">
        <w:t>heat curing requirements and how it is done (e.g.</w:t>
      </w:r>
      <w:r w:rsidRPr="00451DC4">
        <w:t xml:space="preserve"> ovens, hot bonders (blankets), and autoclaves) and heat curves</w:t>
      </w:r>
    </w:p>
    <w:p w:rsidR="00000000" w:rsidRPr="00451DC4" w:rsidP="00451DC4">
      <w:pPr>
        <w:pStyle w:val="ListBullet"/>
      </w:pPr>
      <w:r w:rsidRPr="00451DC4">
        <w:t>TG (glass transition temperature)</w:t>
      </w:r>
    </w:p>
    <w:p w:rsidR="00000000" w:rsidRPr="00451DC4" w:rsidP="00451DC4">
      <w:pPr>
        <w:pStyle w:val="ListBullet"/>
      </w:pPr>
      <w:r w:rsidRPr="00451DC4">
        <w:t>design briefs (e.g. tool design and part lines)</w:t>
      </w:r>
    </w:p>
    <w:p w:rsidR="00000000" w:rsidRPr="00451DC4" w:rsidP="00451DC4">
      <w:pPr>
        <w:pStyle w:val="ListBullet"/>
      </w:pPr>
      <w:r w:rsidRPr="00451DC4">
        <w:t>Darcy’s Law and its application to the flow of resins through porous media (e.g. reinforcing and cores).</w:t>
      </w:r>
    </w:p>
    <w:p w:rsidR="00000000" w:rsidRPr="00451DC4" w:rsidP="00451DC4">
      <w:pPr>
        <w:pStyle w:val="AllowPageBreak"/>
      </w:pPr>
    </w:p>
    <w:p w:rsidR="00000000" w:rsidRPr="00451DC4" w:rsidP="00451DC4">
      <w:pPr>
        <w:pStyle w:val="Heading1"/>
      </w:pPr>
      <w:bookmarkStart w:id="4" w:name="O_952012"/>
      <w:bookmarkEnd w:id="4"/>
      <w:r w:rsidRPr="00451DC4">
        <w:t>Assessment Conditions</w:t>
      </w:r>
    </w:p>
    <w:p w:rsidR="00000000" w:rsidRPr="00451DC4" w:rsidP="00451DC4">
      <w:pPr>
        <w:pStyle w:val="ListBullet"/>
      </w:pPr>
      <w:r w:rsidRPr="00451DC4">
        <w:t>Assessors must:</w:t>
      </w:r>
    </w:p>
    <w:p w:rsidR="00000000" w:rsidRPr="00451DC4" w:rsidP="00451DC4">
      <w:pPr>
        <w:pStyle w:val="ListBullet2"/>
      </w:pPr>
      <w:r w:rsidRPr="00451DC4">
        <w:t>have vocational competency in laying up composites using vacuum closed moulding techniques at least to the level being assessed with relevant industry knowledge and experience</w:t>
      </w:r>
    </w:p>
    <w:p w:rsidR="00000000" w:rsidRPr="00451DC4" w:rsidP="00451DC4">
      <w:pPr>
        <w:pStyle w:val="ListBullet2"/>
      </w:pPr>
      <w:r w:rsidRPr="00451DC4">
        <w:t>s</w:t>
      </w:r>
      <w:r w:rsidRPr="00451DC4">
        <w:t xml:space="preserve">atisfy the assessor requirements in the </w:t>
      </w:r>
      <w:r w:rsidRPr="00451DC4">
        <w:rPr>
          <w:rStyle w:val="Emphasis"/>
        </w:rPr>
        <w:t xml:space="preserve">Standards for Registered Training Organisations 2015 </w:t>
      </w:r>
      <w:r w:rsidRPr="00451DC4">
        <w:t>or its replacement</w:t>
      </w:r>
      <w:r w:rsidRPr="00451DC4">
        <w:rPr>
          <w:rStyle w:val="Emphasis"/>
        </w:rPr>
        <w:t xml:space="preserve"> </w:t>
      </w:r>
      <w:r w:rsidRPr="00451DC4">
        <w:t xml:space="preserve">and comply with the </w:t>
      </w:r>
      <w:r w:rsidRPr="00451DC4">
        <w:rPr>
          <w:rStyle w:val="Emphasis"/>
        </w:rPr>
        <w:t xml:space="preserve">National Vocational Education and Training Regulator Act 2011, </w:t>
      </w:r>
      <w:r w:rsidRPr="00451DC4">
        <w:t>its replacement</w:t>
      </w:r>
      <w:r w:rsidRPr="00451DC4">
        <w:rPr>
          <w:rStyle w:val="Emphasis"/>
        </w:rPr>
        <w:t xml:space="preserve"> </w:t>
      </w:r>
      <w:r w:rsidRPr="00451DC4">
        <w:t>or equivalent legislation covering VET regula</w:t>
      </w:r>
      <w:r w:rsidRPr="00451DC4">
        <w:t>tion in a non-referring state/territory as the case requires</w:t>
      </w:r>
    </w:p>
    <w:p w:rsidR="00000000" w:rsidRPr="00451DC4" w:rsidP="00451DC4">
      <w:pPr>
        <w:pStyle w:val="ListBullet"/>
      </w:pPr>
      <w:r w:rsidRPr="00451DC4">
        <w:t xml:space="preserve">Where possible assessment must occur in operational workplace situations. Where this is not possible or where personal safety or environmental damage are limiting factors, assessment must occur </w:t>
      </w:r>
      <w:r w:rsidRPr="00451DC4">
        <w:t>in a sufficiently rigorous simulated environment that reflects realistic operational workplace conditions. This must cover all aspects of workplace performance, including environment, task skills, task management skills, contingency management skills and j</w:t>
      </w:r>
      <w:r w:rsidRPr="00451DC4">
        <w:t>ob role environment skills</w:t>
      </w:r>
    </w:p>
    <w:p w:rsidR="00000000" w:rsidRPr="00451DC4" w:rsidP="00451DC4">
      <w:pPr>
        <w:pStyle w:val="ListBullet"/>
      </w:pPr>
      <w:r w:rsidRPr="00451DC4">
        <w:t>Conditions for assessment must include access to all tools, equipment, materials and documentation required, including relevant workplace procedures, product and manufacturing specifications</w:t>
      </w:r>
    </w:p>
    <w:p w:rsidR="00000000" w:rsidRPr="00451DC4" w:rsidP="00451DC4">
      <w:pPr>
        <w:pStyle w:val="ListBullet"/>
      </w:pPr>
      <w:r w:rsidRPr="00451DC4">
        <w:t>Assessment processes and techniques mu</w:t>
      </w:r>
      <w:r w:rsidRPr="00451DC4">
        <w:t>st be appropriate to the language, literacy and numeracy requirements of the work being performed and the needs of the candidate.</w:t>
      </w:r>
    </w:p>
    <w:p w:rsidR="00000000" w:rsidRPr="00451DC4" w:rsidP="00451DC4">
      <w:pPr>
        <w:pStyle w:val="AllowPageBreak"/>
      </w:pPr>
    </w:p>
    <w:p w:rsidR="00000000" w:rsidRPr="00451DC4" w:rsidP="00451DC4">
      <w:pPr>
        <w:pStyle w:val="Heading1"/>
      </w:pPr>
      <w:bookmarkStart w:id="5" w:name="O_952010"/>
      <w:bookmarkEnd w:id="5"/>
      <w:r w:rsidRPr="00451DC4">
        <w:t>Links</w:t>
      </w:r>
    </w:p>
    <w:p w:rsidR="00000000" w:rsidRPr="00451DC4" w:rsidP="00617CE8">
      <w:pPr>
        <w:pStyle w:val="BodyText"/>
      </w:pPr>
      <w:r w:rsidRPr="00451D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459B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51DC4" w:rsidP="00451DC4"/>
    <w:sectPr w:rsidSect="00451D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D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DC4" w:rsidRPr="00617CE8" w:rsidP="00617C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D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CE8" w:rsidP="00451D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7CE8" w:rsidP="00451D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17CE8" w:rsidP="00451D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D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C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DC4" w:rsidRPr="00617CE8" w:rsidP="00617C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D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CE8" w:rsidRPr="002D2AF8" w:rsidP="00451D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MEM26002 Lay up composites using vacuum closed moulding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17CE8" w:rsidP="00451D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D436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441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0294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D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D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D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D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D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D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D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D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D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D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D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DC4"/>
  </w:style>
  <w:style w:type="character" w:customStyle="1" w:styleId="Heading1Char">
    <w:name w:val="Heading 1 Char"/>
    <w:basedOn w:val="DefaultParagraphFont"/>
    <w:link w:val="Heading1"/>
    <w:rsid w:val="00451D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D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D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1D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1DC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1DC4"/>
    <w:rPr>
      <w:i/>
    </w:rPr>
  </w:style>
  <w:style w:type="paragraph" w:customStyle="1" w:styleId="SuperHeading">
    <w:name w:val="SuperHeading"/>
    <w:basedOn w:val="Normal"/>
    <w:rsid w:val="00451D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D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1D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D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D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D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D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D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D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D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D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D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D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D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D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D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D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D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D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1D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1DC4"/>
    <w:rPr>
      <w:b/>
      <w:spacing w:val="0"/>
    </w:rPr>
  </w:style>
  <w:style w:type="paragraph" w:customStyle="1" w:styleId="SuperTitle">
    <w:name w:val="SuperTitle"/>
    <w:basedOn w:val="Title"/>
    <w:rsid w:val="00451D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D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D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1D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D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D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D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D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D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D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D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D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1D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D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D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DC4"/>
  </w:style>
  <w:style w:type="paragraph" w:styleId="TableofFigures">
    <w:name w:val="table of figures"/>
    <w:basedOn w:val="Normal"/>
    <w:next w:val="Normal"/>
    <w:semiHidden/>
    <w:rsid w:val="00451D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D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1DC4"/>
    <w:rPr>
      <w:rFonts w:ascii="Wingdings" w:hAnsi="Wingdings"/>
    </w:rPr>
  </w:style>
  <w:style w:type="paragraph" w:customStyle="1" w:styleId="TableHeading">
    <w:name w:val="Table Heading"/>
    <w:basedOn w:val="HeadingBase"/>
    <w:rsid w:val="00451D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DC4"/>
    <w:rPr>
      <w:color w:val="0033CC"/>
      <w:u w:val="none"/>
    </w:rPr>
  </w:style>
  <w:style w:type="paragraph" w:customStyle="1" w:styleId="BodyTextRight">
    <w:name w:val="Body Text Right"/>
    <w:basedOn w:val="BodyText"/>
    <w:rsid w:val="00451D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D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D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D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D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D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DC4"/>
    <w:rPr>
      <w:sz w:val="32"/>
    </w:rPr>
  </w:style>
  <w:style w:type="paragraph" w:customStyle="1" w:styleId="HeadingProcedure">
    <w:name w:val="Heading Procedure"/>
    <w:basedOn w:val="HeadingBase"/>
    <w:next w:val="Normal"/>
    <w:rsid w:val="00451D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DC4"/>
    <w:pPr>
      <w:spacing w:before="60" w:after="60"/>
    </w:pPr>
  </w:style>
  <w:style w:type="paragraph" w:styleId="ListContinue">
    <w:name w:val="List Continue"/>
    <w:basedOn w:val="List"/>
    <w:rsid w:val="00451DC4"/>
    <w:pPr>
      <w:ind w:firstLine="0"/>
    </w:pPr>
  </w:style>
  <w:style w:type="paragraph" w:customStyle="1" w:styleId="ListNote">
    <w:name w:val="List Note"/>
    <w:basedOn w:val="List"/>
    <w:rsid w:val="00451D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D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D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DC4"/>
    <w:rPr>
      <w:rFonts w:ascii="Courier New" w:hAnsi="Courier New"/>
    </w:rPr>
  </w:style>
  <w:style w:type="paragraph" w:customStyle="1" w:styleId="NoteBullet">
    <w:name w:val="Note Bullet"/>
    <w:basedOn w:val="Note"/>
    <w:rsid w:val="00451D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D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D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D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D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1D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D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DC4"/>
    <w:rPr>
      <w:b/>
      <w:smallCaps/>
    </w:rPr>
  </w:style>
  <w:style w:type="paragraph" w:customStyle="1" w:styleId="TableListNumber">
    <w:name w:val="Table List Number"/>
    <w:basedOn w:val="ListNumber"/>
    <w:rsid w:val="00451D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D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DC4"/>
    <w:pPr>
      <w:numPr>
        <w:numId w:val="9"/>
      </w:numPr>
    </w:pPr>
  </w:style>
  <w:style w:type="paragraph" w:customStyle="1" w:styleId="ListAlpha2">
    <w:name w:val="List Alpha 2"/>
    <w:basedOn w:val="List2"/>
    <w:rsid w:val="00451DC4"/>
    <w:pPr>
      <w:numPr>
        <w:numId w:val="8"/>
      </w:numPr>
    </w:pPr>
  </w:style>
  <w:style w:type="paragraph" w:styleId="List2">
    <w:name w:val="List 2"/>
    <w:basedOn w:val="BodyText"/>
    <w:rsid w:val="00451D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D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D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D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D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D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1DC4"/>
    <w:pPr>
      <w:numPr>
        <w:numId w:val="4"/>
      </w:numPr>
    </w:pPr>
  </w:style>
  <w:style w:type="paragraph" w:styleId="ListContinue2">
    <w:name w:val="List Continue 2"/>
    <w:basedOn w:val="List2"/>
    <w:rsid w:val="00451DC4"/>
    <w:pPr>
      <w:ind w:firstLine="0"/>
    </w:pPr>
  </w:style>
  <w:style w:type="paragraph" w:styleId="ListContinue3">
    <w:name w:val="List Continue 3"/>
    <w:basedOn w:val="List3"/>
    <w:rsid w:val="00451DC4"/>
    <w:pPr>
      <w:ind w:left="1021" w:firstLine="0"/>
    </w:pPr>
  </w:style>
  <w:style w:type="paragraph" w:styleId="ListContinue4">
    <w:name w:val="List Continue 4"/>
    <w:basedOn w:val="List4"/>
    <w:rsid w:val="00451DC4"/>
    <w:pPr>
      <w:ind w:firstLine="0"/>
    </w:pPr>
  </w:style>
  <w:style w:type="paragraph" w:styleId="ListContinue5">
    <w:name w:val="List Continue 5"/>
    <w:basedOn w:val="List5"/>
    <w:rsid w:val="00451DC4"/>
    <w:pPr>
      <w:ind w:firstLine="0"/>
    </w:pPr>
  </w:style>
  <w:style w:type="paragraph" w:styleId="ListNumber3">
    <w:name w:val="List Number 3"/>
    <w:basedOn w:val="List3"/>
    <w:rsid w:val="00451DC4"/>
    <w:pPr>
      <w:numPr>
        <w:numId w:val="5"/>
      </w:numPr>
    </w:pPr>
  </w:style>
  <w:style w:type="paragraph" w:styleId="ListNumber4">
    <w:name w:val="List Number 4"/>
    <w:basedOn w:val="List4"/>
    <w:rsid w:val="00451DC4"/>
    <w:pPr>
      <w:numPr>
        <w:numId w:val="6"/>
      </w:numPr>
    </w:pPr>
  </w:style>
  <w:style w:type="paragraph" w:styleId="ListNumber5">
    <w:name w:val="List Number 5"/>
    <w:basedOn w:val="List5"/>
    <w:rsid w:val="00451DC4"/>
    <w:pPr>
      <w:numPr>
        <w:numId w:val="7"/>
      </w:numPr>
    </w:pPr>
  </w:style>
  <w:style w:type="paragraph" w:styleId="BlockText">
    <w:name w:val="Block Text"/>
    <w:basedOn w:val="Normal"/>
    <w:rsid w:val="00451D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D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DC4"/>
    <w:rPr>
      <w:sz w:val="16"/>
      <w:vertAlign w:val="superscript"/>
    </w:rPr>
  </w:style>
  <w:style w:type="character" w:customStyle="1" w:styleId="Symbols">
    <w:name w:val="Symbols"/>
    <w:basedOn w:val="DefaultParagraphFont"/>
    <w:rsid w:val="00451DC4"/>
    <w:rPr>
      <w:rFonts w:ascii="Symbol" w:hAnsi="Symbol"/>
    </w:rPr>
  </w:style>
  <w:style w:type="character" w:customStyle="1" w:styleId="MenuOptions">
    <w:name w:val="Menu Options"/>
    <w:basedOn w:val="DefaultParagraphFont"/>
    <w:rsid w:val="00451D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DC4"/>
    <w:rPr>
      <w:b/>
    </w:rPr>
  </w:style>
  <w:style w:type="character" w:customStyle="1" w:styleId="Underlined">
    <w:name w:val="Underlined"/>
    <w:basedOn w:val="DefaultParagraphFont"/>
    <w:rsid w:val="00451DC4"/>
    <w:rPr>
      <w:u w:val="single"/>
    </w:rPr>
  </w:style>
  <w:style w:type="paragraph" w:customStyle="1" w:styleId="TableBodyTextRight">
    <w:name w:val="Table Body Text Right"/>
    <w:basedOn w:val="TableBodyText"/>
    <w:rsid w:val="00451D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DC4"/>
    <w:rPr>
      <w:sz w:val="18"/>
    </w:rPr>
  </w:style>
  <w:style w:type="paragraph" w:customStyle="1" w:styleId="BodySmallRight">
    <w:name w:val="Body Small Right"/>
    <w:basedOn w:val="BodyTextRight"/>
    <w:rsid w:val="00451DC4"/>
    <w:rPr>
      <w:sz w:val="18"/>
      <w:szCs w:val="18"/>
    </w:rPr>
  </w:style>
  <w:style w:type="paragraph" w:customStyle="1" w:styleId="MarginEdition">
    <w:name w:val="Margin Edition"/>
    <w:basedOn w:val="MarginNote"/>
    <w:rsid w:val="00451D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DC4"/>
    <w:rPr>
      <w:sz w:val="2"/>
      <w:szCs w:val="2"/>
    </w:rPr>
  </w:style>
  <w:style w:type="character" w:customStyle="1" w:styleId="Small">
    <w:name w:val="Small"/>
    <w:basedOn w:val="DefaultParagraphFont"/>
    <w:rsid w:val="00451DC4"/>
    <w:rPr>
      <w:sz w:val="16"/>
    </w:rPr>
  </w:style>
  <w:style w:type="paragraph" w:customStyle="1" w:styleId="WideTable">
    <w:name w:val="Wide Table"/>
    <w:basedOn w:val="Normal"/>
    <w:rsid w:val="00451D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DC4"/>
  </w:style>
  <w:style w:type="paragraph" w:styleId="Quote">
    <w:name w:val="Quote"/>
    <w:basedOn w:val="Heading1"/>
    <w:link w:val="QuoteChar"/>
    <w:qFormat/>
    <w:rsid w:val="00451D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D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DC4"/>
    <w:pPr>
      <w:pageBreakBefore/>
    </w:pPr>
  </w:style>
  <w:style w:type="paragraph" w:customStyle="1" w:styleId="Border">
    <w:name w:val="Border"/>
    <w:basedOn w:val="Normal"/>
    <w:qFormat/>
    <w:rsid w:val="00451D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D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D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D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D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D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D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D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D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DC4"/>
    <w:rPr>
      <w:u w:val="single"/>
    </w:rPr>
  </w:style>
  <w:style w:type="character" w:customStyle="1" w:styleId="BoldandItalics">
    <w:name w:val="Bold and Italics"/>
    <w:qFormat/>
    <w:rsid w:val="00451DC4"/>
    <w:rPr>
      <w:b/>
      <w:i/>
      <w:u w:val="none"/>
    </w:rPr>
  </w:style>
  <w:style w:type="paragraph" w:styleId="BalloonText">
    <w:name w:val="Balloon Text"/>
    <w:basedOn w:val="Normal"/>
    <w:link w:val="BalloonTextChar"/>
    <w:rsid w:val="00451D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D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D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D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D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D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DC4"/>
    <w:pPr>
      <w:spacing w:before="0" w:after="0"/>
    </w:pPr>
  </w:style>
  <w:style w:type="paragraph" w:customStyle="1" w:styleId="BodyTextBold">
    <w:name w:val="Body Text Bold"/>
    <w:basedOn w:val="BodyText"/>
    <w:qFormat/>
    <w:rsid w:val="00451DC4"/>
    <w:rPr>
      <w:b/>
    </w:rPr>
  </w:style>
  <w:style w:type="character" w:styleId="Hyperlink">
    <w:name w:val="Hyperlink"/>
    <w:basedOn w:val="DefaultParagraphFont"/>
    <w:uiPriority w:val="99"/>
    <w:unhideWhenUsed/>
    <w:rsid w:val="00617C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4102</Characters>
  <Application>Microsoft Office Word</Application>
  <DocSecurity>0</DocSecurity>
  <Lines>93</Lines>
  <Paragraphs>61</Paragraphs>
  <ScaleCrop>false</ScaleCrop>
  <Company>Author-it Software Corporation Ltd.</Company>
  <LinksUpToDate>false</LinksUpToDate>
  <CharactersWithSpaces>4669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MEM26002 Lay up composites using vacuum closed moulding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2023-02-03T08:07:00Z</dcterms:created>
  <dcterms:modified xsi:type="dcterms:W3CDTF">2023-02-03T08:07:00Z</dcterms:modified>
</cp:coreProperties>
</file>