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C63" w:rsidP="00F62C63">
      <w:pPr>
        <w:pStyle w:val="Title"/>
      </w:pPr>
      <w:r>
        <w:fldChar w:fldCharType="begin"/>
      </w:r>
      <w:r>
        <w:instrText xml:space="preserve"> TITLE   \* MERGEFORMAT </w:instrText>
      </w:r>
      <w:r>
        <w:fldChar w:fldCharType="separate"/>
      </w:r>
      <w:r>
        <w:t>MEM26001 Lay up composites using open moulding techniques</w:t>
      </w:r>
      <w:r>
        <w:fldChar w:fldCharType="end"/>
      </w:r>
    </w:p>
    <w:p w:rsidR="00F62C63" w:rsidP="00F62C63">
      <w:pPr>
        <w:pStyle w:val="Version"/>
        <w:sectPr w:rsidSect="00EE4E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E8B" w:rsidP="00EE4E8B">
      <w:pPr>
        <w:pStyle w:val="SuperHeading"/>
      </w:pPr>
      <w:r w:rsidRPr="00EE4E8B">
        <w:t>MEM26001 Lay up composites using open moulding techniques</w:t>
      </w:r>
    </w:p>
    <w:p w:rsidR="00000000" w:rsidRPr="00EE4E8B" w:rsidP="00EE4E8B">
      <w:pPr>
        <w:pStyle w:val="Heading1"/>
      </w:pPr>
      <w:bookmarkStart w:id="1" w:name="O_951996"/>
      <w:bookmarkEnd w:id="1"/>
      <w:r w:rsidRPr="00EE4E8B">
        <w:t>Modification History</w:t>
      </w:r>
    </w:p>
    <w:p w:rsidR="00000000" w:rsidRPr="00EE4E8B" w:rsidP="00F62C63">
      <w:pPr>
        <w:pStyle w:val="BodyText"/>
      </w:pPr>
      <w:r w:rsidRPr="00EE4E8B">
        <w:t xml:space="preserve">Release 1. Supersedes and is equivalent to MEM26001A Lay up composites using open moulding techniques </w:t>
      </w:r>
    </w:p>
    <w:p w:rsidR="00000000" w:rsidRPr="00EE4E8B" w:rsidP="00EE4E8B">
      <w:pPr>
        <w:pStyle w:val="Heading1"/>
      </w:pPr>
      <w:bookmarkStart w:id="2" w:name="O_952004"/>
      <w:bookmarkEnd w:id="2"/>
      <w:r w:rsidRPr="00EE4E8B">
        <w:t>Application</w:t>
      </w:r>
    </w:p>
    <w:p w:rsidR="00000000" w:rsidRPr="00EE4E8B" w:rsidP="00F62C63">
      <w:pPr>
        <w:pStyle w:val="BodyText"/>
      </w:pPr>
      <w:r w:rsidRPr="00EE4E8B">
        <w:t>This unit of competency defines the skills and knowledge required to fabricate composit</w:t>
      </w:r>
      <w:r w:rsidRPr="00EE4E8B">
        <w:t>es using open moulding techniques.</w:t>
      </w:r>
    </w:p>
    <w:p w:rsidR="00000000" w:rsidRPr="00EE4E8B" w:rsidP="00F62C63">
      <w:pPr>
        <w:pStyle w:val="BodyText"/>
      </w:pPr>
      <w:r w:rsidRPr="00EE4E8B">
        <w:t>This unit is one of three units covering the basic composite fabrication techniques, the other two being unit MEM26002 Lay up composites using vacuum closed moulding techniques and unit MEM26003 Lay up composites using p</w:t>
      </w:r>
      <w:r w:rsidRPr="00EE4E8B">
        <w:t>ressure closed moulding techniques, which together are intended to ensure the composite tradesperson can undertake a basic fabrication using these methods.</w:t>
      </w:r>
    </w:p>
    <w:p w:rsidR="00000000" w:rsidRPr="00EE4E8B" w:rsidP="00F62C63">
      <w:pPr>
        <w:pStyle w:val="BodyText"/>
      </w:pPr>
      <w:r w:rsidRPr="00EE4E8B">
        <w:t>Where mechanically assisted movement of large parts is required, appropriate units should also be s</w:t>
      </w:r>
      <w:r w:rsidRPr="00EE4E8B">
        <w:t>elected.</w:t>
      </w:r>
    </w:p>
    <w:p w:rsidR="00000000" w:rsidRPr="00EE4E8B" w:rsidP="00F62C63">
      <w:pPr>
        <w:pStyle w:val="BodyText"/>
      </w:pPr>
      <w:r w:rsidRPr="00EE4E8B">
        <w:t>No licensing, legislative or certification requirements apply to this unit at the time of publication.</w:t>
      </w:r>
    </w:p>
    <w:p w:rsidR="00000000" w:rsidRPr="00EE4E8B" w:rsidP="00EE4E8B">
      <w:pPr>
        <w:pStyle w:val="BodyText"/>
      </w:pPr>
      <w:r w:rsidRPr="00EE4E8B">
        <w:rPr>
          <w:rStyle w:val="SpecialBold"/>
        </w:rPr>
        <w:t>Band</w:t>
      </w:r>
      <w:r w:rsidRPr="00EE4E8B">
        <w:t>:</w:t>
      </w:r>
      <w:r w:rsidRPr="00EE4E8B">
        <w:tab/>
      </w:r>
      <w:r w:rsidRPr="00EE4E8B">
        <w:rPr>
          <w:rStyle w:val="SpecialBold"/>
        </w:rPr>
        <w:t>A</w:t>
      </w:r>
    </w:p>
    <w:p w:rsidR="00000000" w:rsidRPr="00EE4E8B" w:rsidP="00EE4E8B">
      <w:pPr>
        <w:pStyle w:val="BodyText"/>
      </w:pPr>
      <w:r w:rsidRPr="00EE4E8B">
        <w:rPr>
          <w:rStyle w:val="SpecialBold"/>
        </w:rPr>
        <w:t>Unit Weight</w:t>
      </w:r>
      <w:r w:rsidRPr="00EE4E8B">
        <w:t>:</w:t>
      </w:r>
      <w:r w:rsidRPr="00EE4E8B">
        <w:tab/>
      </w:r>
      <w:r w:rsidRPr="00EE4E8B">
        <w:rPr>
          <w:rStyle w:val="SpecialBold"/>
        </w:rPr>
        <w:t>6</w:t>
      </w:r>
    </w:p>
    <w:p w:rsidR="00000000" w:rsidRPr="00EE4E8B" w:rsidP="00EE4E8B">
      <w:pPr>
        <w:pStyle w:val="AllowPageBreak"/>
      </w:pPr>
    </w:p>
    <w:p w:rsidR="00000000" w:rsidRPr="00EE4E8B" w:rsidP="00EE4E8B">
      <w:pPr>
        <w:pStyle w:val="Heading1"/>
      </w:pPr>
      <w:bookmarkStart w:id="3" w:name="O_952003"/>
      <w:bookmarkEnd w:id="3"/>
      <w:r w:rsidRPr="00EE4E8B">
        <w:t>Pre-requisite Unit</w:t>
      </w:r>
    </w:p>
    <w:tbl>
      <w:tblPr>
        <w:tblW w:w="0" w:type="auto"/>
        <w:tblLayout w:type="fixed"/>
        <w:tblCellMar>
          <w:left w:w="62" w:type="dxa"/>
          <w:right w:w="62" w:type="dxa"/>
        </w:tblCellMar>
        <w:tblLook w:val="0000"/>
      </w:tblPr>
      <w:tblGrid>
        <w:gridCol w:w="2186"/>
        <w:gridCol w:w="6886"/>
      </w:tblGrid>
      <w:tr w:rsidTr="00EE4E8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MEM13015</w:t>
            </w:r>
          </w:p>
        </w:tc>
        <w:tc>
          <w:tcPr>
            <w:tcW w:w="6886"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Work safely and effectively in manufacturing and engineering</w:t>
            </w:r>
          </w:p>
        </w:tc>
      </w:tr>
      <w:tr w:rsidTr="00EE4E8B">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MEM16006</w:t>
            </w:r>
          </w:p>
        </w:tc>
        <w:tc>
          <w:tcPr>
            <w:tcW w:w="6886" w:type="dxa"/>
            <w:tcBorders>
              <w:top w:val="nil"/>
              <w:left w:val="nil"/>
              <w:bottom w:val="nil"/>
              <w:right w:val="nil"/>
            </w:tcBorders>
            <w:tcMar>
              <w:top w:w="0" w:type="dxa"/>
              <w:left w:w="62" w:type="dxa"/>
              <w:bottom w:w="0" w:type="dxa"/>
              <w:right w:w="62" w:type="dxa"/>
            </w:tcMar>
          </w:tcPr>
          <w:p w:rsidR="00000000" w:rsidRPr="00EE4E8B" w:rsidP="00EE4E8B">
            <w:pPr>
              <w:pStyle w:val="BodyText"/>
            </w:pPr>
            <w:r w:rsidRPr="00EE4E8B">
              <w:t>Org</w:t>
            </w:r>
            <w:r w:rsidRPr="00EE4E8B">
              <w:t>anise and communicate information</w:t>
            </w:r>
          </w:p>
        </w:tc>
      </w:tr>
    </w:tbl>
    <w:p w:rsidR="00000000" w:rsidRPr="00EE4E8B" w:rsidP="00EE4E8B">
      <w:pPr>
        <w:pStyle w:val="BodyText"/>
      </w:pPr>
    </w:p>
    <w:p w:rsidR="00000000" w:rsidRPr="00EE4E8B" w:rsidP="00EE4E8B">
      <w:pPr>
        <w:pStyle w:val="AllowPageBreak"/>
      </w:pPr>
    </w:p>
    <w:p w:rsidR="00000000" w:rsidRPr="00EE4E8B" w:rsidP="00EE4E8B">
      <w:pPr>
        <w:pStyle w:val="Heading1"/>
      </w:pPr>
      <w:bookmarkStart w:id="4" w:name="O_952002"/>
      <w:bookmarkEnd w:id="4"/>
      <w:r w:rsidRPr="00EE4E8B">
        <w:t>Competency Field</w:t>
      </w:r>
    </w:p>
    <w:p w:rsidR="00000000" w:rsidRPr="00EE4E8B" w:rsidP="00F62C63">
      <w:pPr>
        <w:pStyle w:val="BodyText"/>
      </w:pPr>
      <w:r w:rsidRPr="00EE4E8B">
        <w:t>Composites</w:t>
      </w:r>
    </w:p>
    <w:p w:rsidR="00000000" w:rsidRPr="00EE4E8B" w:rsidP="00EE4E8B">
      <w:pPr>
        <w:pStyle w:val="Heading1"/>
      </w:pPr>
      <w:bookmarkStart w:id="5" w:name="O_952000"/>
      <w:bookmarkEnd w:id="5"/>
      <w:r w:rsidRPr="00EE4E8B">
        <w:t>Elements and Performance Criteria</w:t>
      </w:r>
    </w:p>
    <w:tbl>
      <w:tblPr>
        <w:tblW w:w="0" w:type="auto"/>
        <w:tblLayout w:type="fixed"/>
        <w:tblCellMar>
          <w:left w:w="62" w:type="dxa"/>
          <w:right w:w="62" w:type="dxa"/>
        </w:tblCellMar>
        <w:tblLook w:val="0000"/>
      </w:tblPr>
      <w:tblGrid>
        <w:gridCol w:w="748"/>
        <w:gridCol w:w="2468"/>
        <w:gridCol w:w="744"/>
        <w:gridCol w:w="5175"/>
      </w:tblGrid>
      <w:tr w:rsidTr="00EE4E8B">
        <w:tblPrEx>
          <w:tblW w:w="0" w:type="auto"/>
          <w:tblLayout w:type="fixed"/>
          <w:tblCellMar>
            <w:left w:w="62" w:type="dxa"/>
            <w:right w:w="62" w:type="dxa"/>
          </w:tblCellMar>
          <w:tblLook w:val="0000"/>
        </w:tblPrEx>
        <w:trPr>
          <w:tblHeader/>
        </w:trPr>
        <w:tc>
          <w:tcPr>
            <w:tcW w:w="3216" w:type="dxa"/>
            <w:gridSpan w:val="2"/>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Elements describe the essential outcomes.</w:t>
            </w:r>
          </w:p>
        </w:tc>
        <w:tc>
          <w:tcPr>
            <w:tcW w:w="5919" w:type="dxa"/>
            <w:gridSpan w:val="2"/>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Performance criteria describe the performance needed to demonstrate achievement of the element.</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rsidRPr="00EE4E8B" w:rsidP="00EE4E8B">
            <w:pPr>
              <w:pStyle w:val="BodyText"/>
            </w:pPr>
            <w:r w:rsidRPr="00EE4E8B">
              <w:t>1</w:t>
            </w:r>
          </w:p>
        </w:tc>
        <w:tc>
          <w:tcPr>
            <w:tcW w:w="2468" w:type="dxa"/>
            <w:vMerge w:val="restart"/>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rPr>
                <w:rStyle w:val="SpecialBold"/>
              </w:rPr>
              <w:t>Determine product requirements</w:t>
            </w: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1.1</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Follow standard operating procedures (SOPs)</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1.2</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Comply with work health and safety (WHS) requirements at all times</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1.3</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Select and use appropriate personal protective equipment (PPE) in accordance with SOPs</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1.4</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Identify product requirements from specifications, job sheets or work instructions and customer requests</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1.5</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Select open moulding technique most appropriate to product requirements</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1.6</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Identify or develop required procedures to make product using selected process</w:t>
            </w:r>
          </w:p>
        </w:tc>
      </w:tr>
      <w:tr w:rsidTr="00EE4E8B">
        <w:tblPrEx>
          <w:tblW w:w="0" w:type="auto"/>
          <w:tblLayout w:type="fixed"/>
          <w:tblCellMar>
            <w:left w:w="62" w:type="dxa"/>
            <w:right w:w="62" w:type="dxa"/>
          </w:tblCellMar>
          <w:tblLook w:val="0000"/>
        </w:tblPrEx>
        <w:tc>
          <w:tcPr>
            <w:tcW w:w="9135" w:type="dxa"/>
            <w:gridSpan w:val="4"/>
            <w:tcBorders>
              <w:top w:val="nil"/>
              <w:left w:val="nil"/>
              <w:bottom w:val="nil"/>
              <w:right w:val="nil"/>
            </w:tcBorders>
            <w:tcMar>
              <w:top w:w="0" w:type="dxa"/>
              <w:left w:w="62" w:type="dxa"/>
              <w:bottom w:w="0" w:type="dxa"/>
              <w:right w:w="62" w:type="dxa"/>
            </w:tcMar>
          </w:tcPr>
          <w:p w:rsidR="00000000" w:rsidP="00EE4E8B">
            <w:pPr>
              <w:pStyle w:val="BodyText"/>
              <w:rPr>
                <w:lang w:val="en-NZ"/>
              </w:rPr>
            </w:pP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rsidRPr="00EE4E8B" w:rsidP="00EE4E8B">
            <w:pPr>
              <w:pStyle w:val="BodyText"/>
            </w:pPr>
            <w:r w:rsidRPr="00EE4E8B">
              <w:t>2</w:t>
            </w:r>
          </w:p>
        </w:tc>
        <w:tc>
          <w:tcPr>
            <w:tcW w:w="2468" w:type="dxa"/>
            <w:vMerge w:val="restart"/>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rPr>
                <w:rStyle w:val="SpecialBold"/>
              </w:rPr>
              <w:t>Set up equipment/ workplace and prepare materials</w:t>
            </w: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2.1</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Select required items of equipment and ancillary equipment</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2.2</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Prepare and assemble all equipment and ancillary equipment as required by procedures</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2.3</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Identify required reinforcing/reinforcing system and determine quantity of reinforcing</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2.4</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Prepare reinforcing including cutting to size/shape and carry out any pre-treatment, as required</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2.5</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Identify required resin system</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2.6</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Determine quantity of resin components and confirm adequate quantities are available</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2.7</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Mix re</w:t>
            </w:r>
            <w:r w:rsidRPr="00EE4E8B">
              <w:t>sin with minimised waste and test resin</w:t>
            </w:r>
          </w:p>
        </w:tc>
      </w:tr>
      <w:tr w:rsidTr="00EE4E8B">
        <w:tblPrEx>
          <w:tblW w:w="0" w:type="auto"/>
          <w:tblLayout w:type="fixed"/>
          <w:tblCellMar>
            <w:left w:w="62" w:type="dxa"/>
            <w:right w:w="62" w:type="dxa"/>
          </w:tblCellMar>
          <w:tblLook w:val="0000"/>
        </w:tblPrEx>
        <w:tc>
          <w:tcPr>
            <w:tcW w:w="9135" w:type="dxa"/>
            <w:gridSpan w:val="4"/>
            <w:tcBorders>
              <w:top w:val="nil"/>
              <w:left w:val="nil"/>
              <w:bottom w:val="nil"/>
              <w:right w:val="nil"/>
            </w:tcBorders>
            <w:tcMar>
              <w:top w:w="0" w:type="dxa"/>
              <w:left w:w="62" w:type="dxa"/>
              <w:bottom w:w="0" w:type="dxa"/>
              <w:right w:w="62" w:type="dxa"/>
            </w:tcMar>
          </w:tcPr>
          <w:p w:rsidR="00000000" w:rsidP="00EE4E8B">
            <w:pPr>
              <w:pStyle w:val="BodyText"/>
              <w:rPr>
                <w:lang w:val="en-NZ"/>
              </w:rPr>
            </w:pP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rsidRPr="00EE4E8B" w:rsidP="00EE4E8B">
            <w:pPr>
              <w:pStyle w:val="BodyText"/>
            </w:pPr>
            <w:r w:rsidRPr="00EE4E8B">
              <w:t>3</w:t>
            </w:r>
          </w:p>
        </w:tc>
        <w:tc>
          <w:tcPr>
            <w:tcW w:w="2468" w:type="dxa"/>
            <w:vMerge w:val="restart"/>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rPr>
                <w:rStyle w:val="SpecialBold"/>
              </w:rPr>
              <w:t>Fabricate and adjust equipment and materials, as required</w:t>
            </w: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3.1</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Identify and control hazards</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3.2</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Apply gel coat, resin and reinforcing in accordance with procedures</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3.3</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Ensure required resin distribution</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3.4</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Cure product and remove product from mould when ready</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3.5</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Identify typical problems and take appropriate remedial action</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3.6</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Perform final verification to meet product requirements</w:t>
            </w:r>
          </w:p>
        </w:tc>
      </w:tr>
      <w:tr w:rsidTr="00EE4E8B">
        <w:tblPrEx>
          <w:tblW w:w="0" w:type="auto"/>
          <w:tblLayout w:type="fixed"/>
          <w:tblCellMar>
            <w:left w:w="62" w:type="dxa"/>
            <w:right w:w="62" w:type="dxa"/>
          </w:tblCellMar>
          <w:tblLook w:val="0000"/>
        </w:tblPrEx>
        <w:tc>
          <w:tcPr>
            <w:tcW w:w="9135" w:type="dxa"/>
            <w:gridSpan w:val="4"/>
            <w:tcBorders>
              <w:top w:val="nil"/>
              <w:left w:val="nil"/>
              <w:bottom w:val="nil"/>
              <w:right w:val="nil"/>
            </w:tcBorders>
            <w:tcMar>
              <w:top w:w="0" w:type="dxa"/>
              <w:left w:w="62" w:type="dxa"/>
              <w:bottom w:w="0" w:type="dxa"/>
              <w:right w:w="62" w:type="dxa"/>
            </w:tcMar>
          </w:tcPr>
          <w:p w:rsidR="00000000" w:rsidP="00EE4E8B">
            <w:pPr>
              <w:pStyle w:val="BodyText"/>
              <w:rPr>
                <w:lang w:val="en-NZ"/>
              </w:rPr>
            </w:pP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rsidRPr="00EE4E8B" w:rsidP="00EE4E8B">
            <w:pPr>
              <w:pStyle w:val="BodyText"/>
            </w:pPr>
            <w:r w:rsidRPr="00EE4E8B">
              <w:t>4</w:t>
            </w:r>
          </w:p>
        </w:tc>
        <w:tc>
          <w:tcPr>
            <w:tcW w:w="2468" w:type="dxa"/>
            <w:vMerge w:val="restart"/>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rPr>
                <w:rStyle w:val="SpecialBold"/>
              </w:rPr>
              <w:t>Clean up and maintain equipment</w:t>
            </w: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4.1</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Clean all moulding and mixing equipment</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4.2</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Undertake minor maintenance, as appropriate</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4.3</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Prepare for next use or storage</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4.4</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Inspect equipment for faults and take appropriate corrective action</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4.5</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Store equipment</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4.6</w:t>
            </w:r>
          </w:p>
        </w:tc>
        <w:tc>
          <w:tcPr>
            <w:tcW w:w="5175"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Minimise and dispose of waste as appropriate</w:t>
            </w:r>
          </w:p>
        </w:tc>
      </w:tr>
      <w:tr w:rsidTr="00EE4E8B">
        <w:tblPrEx>
          <w:tblW w:w="0" w:type="auto"/>
          <w:tblLayout w:type="fixed"/>
          <w:tblCellMar>
            <w:left w:w="62" w:type="dxa"/>
            <w:right w:w="62" w:type="dxa"/>
          </w:tblCellMar>
          <w:tblLook w:val="0000"/>
        </w:tblPrEx>
        <w:tc>
          <w:tcPr>
            <w:tcW w:w="7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6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44"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4.7</w:t>
            </w:r>
          </w:p>
        </w:tc>
        <w:tc>
          <w:tcPr>
            <w:tcW w:w="5175" w:type="dxa"/>
            <w:tcBorders>
              <w:top w:val="nil"/>
              <w:left w:val="nil"/>
              <w:bottom w:val="nil"/>
              <w:right w:val="nil"/>
            </w:tcBorders>
            <w:tcMar>
              <w:top w:w="0" w:type="dxa"/>
              <w:left w:w="62" w:type="dxa"/>
              <w:bottom w:w="0" w:type="dxa"/>
              <w:right w:w="62" w:type="dxa"/>
            </w:tcMar>
          </w:tcPr>
          <w:p w:rsidR="00000000" w:rsidRPr="00EE4E8B" w:rsidP="00EE4E8B">
            <w:pPr>
              <w:pStyle w:val="BodyText"/>
            </w:pPr>
            <w:r w:rsidRPr="00EE4E8B">
              <w:t>Complete required logs and reports according to SOPs</w:t>
            </w:r>
          </w:p>
        </w:tc>
      </w:tr>
    </w:tbl>
    <w:p w:rsidR="00000000" w:rsidRPr="00EE4E8B" w:rsidP="00EE4E8B">
      <w:pPr>
        <w:pStyle w:val="BodyText"/>
      </w:pPr>
    </w:p>
    <w:p w:rsidR="00000000" w:rsidRPr="00EE4E8B" w:rsidP="00EE4E8B">
      <w:pPr>
        <w:pStyle w:val="AllowPageBreak"/>
      </w:pPr>
    </w:p>
    <w:p w:rsidR="00000000" w:rsidRPr="00EE4E8B" w:rsidP="00EE4E8B">
      <w:pPr>
        <w:pStyle w:val="Heading1"/>
      </w:pPr>
      <w:bookmarkStart w:id="6" w:name="O_951999"/>
      <w:bookmarkEnd w:id="6"/>
      <w:r w:rsidRPr="00EE4E8B">
        <w:t>Foundation Skills</w:t>
      </w:r>
    </w:p>
    <w:p w:rsidR="00000000" w:rsidRPr="00EE4E8B" w:rsidP="00F62C63">
      <w:pPr>
        <w:pStyle w:val="BodyText"/>
      </w:pPr>
      <w:r w:rsidRPr="00EE4E8B">
        <w:t>This section describes those required skills (reading, writing, oral communication and numeracy) that are essentia</w:t>
      </w:r>
      <w:r w:rsidRPr="00EE4E8B">
        <w:t xml:space="preserve">l to workplace performance in this unit of competency.  </w:t>
      </w:r>
    </w:p>
    <w:p w:rsidR="00000000" w:rsidRPr="00EE4E8B" w:rsidP="00F62C63">
      <w:pPr>
        <w:pStyle w:val="BodyText"/>
      </w:pPr>
      <w:r w:rsidRPr="00EE4E8B">
        <w:t>Foundation skills essential to performance are explicit in the performance criteria of this unit of competency.</w:t>
      </w:r>
    </w:p>
    <w:p w:rsidR="00000000" w:rsidRPr="00EE4E8B" w:rsidP="00EE4E8B">
      <w:pPr>
        <w:pStyle w:val="Heading1"/>
      </w:pPr>
      <w:bookmarkStart w:id="7" w:name="O_951998"/>
      <w:bookmarkEnd w:id="7"/>
      <w:r w:rsidRPr="00EE4E8B">
        <w:t>Range of Conditions</w:t>
      </w:r>
    </w:p>
    <w:tbl>
      <w:tblPr>
        <w:tblW w:w="0" w:type="auto"/>
        <w:tblLayout w:type="fixed"/>
        <w:tblCellMar>
          <w:left w:w="62" w:type="dxa"/>
          <w:right w:w="62" w:type="dxa"/>
        </w:tblCellMar>
        <w:tblLook w:val="0000"/>
      </w:tblPr>
      <w:tblGrid>
        <w:gridCol w:w="2760"/>
        <w:gridCol w:w="6382"/>
      </w:tblGrid>
      <w:tr w:rsidTr="00EE4E8B">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t>This field allows for different work environments and conditions that may affect performance. Essential operating conditions that may be present (depending on the work situation, needs of the candidate, accessibility of the item, and local industry and reg</w:t>
            </w:r>
            <w:r w:rsidRPr="00EE4E8B">
              <w:t>ional contexts) are included.</w:t>
            </w:r>
          </w:p>
        </w:tc>
      </w:tr>
      <w:tr w:rsidTr="00EE4E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rPr>
                <w:rStyle w:val="SpecialBold"/>
              </w:rPr>
              <w:t>Open moulding techniques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EE4E8B" w:rsidP="00EE4E8B">
            <w:pPr>
              <w:pStyle w:val="ListBullet"/>
            </w:pPr>
            <w:r w:rsidRPr="00EE4E8B">
              <w:t>hand lay-up</w:t>
            </w:r>
          </w:p>
          <w:p w:rsidR="00000000" w:rsidRPr="00EE4E8B" w:rsidP="00EE4E8B">
            <w:pPr>
              <w:pStyle w:val="ListBullet"/>
            </w:pPr>
            <w:r w:rsidRPr="00EE4E8B">
              <w:t>chopper gun</w:t>
            </w:r>
          </w:p>
          <w:p w:rsidR="00000000" w:rsidRPr="00EE4E8B" w:rsidP="00EE4E8B">
            <w:pPr>
              <w:pStyle w:val="ListBullet"/>
            </w:pPr>
            <w:r w:rsidRPr="00EE4E8B">
              <w:t>filament winding</w:t>
            </w:r>
          </w:p>
          <w:p w:rsidR="00000000" w:rsidP="00EE4E8B">
            <w:pPr>
              <w:pStyle w:val="BodyText"/>
              <w:rPr>
                <w:lang w:val="en-NZ"/>
              </w:rPr>
            </w:pPr>
          </w:p>
        </w:tc>
      </w:tr>
      <w:tr w:rsidTr="00EE4E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rPr>
                <w:rStyle w:val="SpecialBold"/>
              </w:rPr>
              <w:t>Equipment includes the following:</w:t>
            </w:r>
          </w:p>
        </w:tc>
        <w:tc>
          <w:tcPr>
            <w:tcW w:w="6382" w:type="dxa"/>
            <w:tcBorders>
              <w:top w:val="nil"/>
              <w:left w:val="nil"/>
              <w:bottom w:val="nil"/>
              <w:right w:val="nil"/>
            </w:tcBorders>
            <w:tcMar>
              <w:top w:w="0" w:type="dxa"/>
              <w:left w:w="62" w:type="dxa"/>
              <w:bottom w:w="0" w:type="dxa"/>
              <w:right w:w="62" w:type="dxa"/>
            </w:tcMar>
          </w:tcPr>
          <w:p w:rsidR="00000000" w:rsidRPr="00EE4E8B" w:rsidP="00EE4E8B">
            <w:pPr>
              <w:pStyle w:val="ListBullet"/>
            </w:pPr>
            <w:r w:rsidRPr="00EE4E8B">
              <w:t>moulds and mould components</w:t>
            </w:r>
          </w:p>
          <w:p w:rsidR="00000000" w:rsidRPr="00EE4E8B" w:rsidP="00EE4E8B">
            <w:pPr>
              <w:pStyle w:val="ListBullet"/>
            </w:pPr>
            <w:r w:rsidRPr="00EE4E8B">
              <w:t>resin application and dispersion tools</w:t>
            </w:r>
          </w:p>
          <w:p w:rsidR="00000000" w:rsidP="00EE4E8B">
            <w:pPr>
              <w:pStyle w:val="BodyText"/>
              <w:rPr>
                <w:lang w:val="en-NZ"/>
              </w:rPr>
            </w:pPr>
          </w:p>
        </w:tc>
      </w:tr>
      <w:tr w:rsidTr="00EE4E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E4E8B">
            <w:pPr>
              <w:pStyle w:val="BodyText"/>
              <w:rPr>
                <w:lang w:val="en-NZ"/>
              </w:rPr>
            </w:pPr>
            <w:r w:rsidRPr="00EE4E8B">
              <w:rPr>
                <w:rStyle w:val="SpecialBold"/>
              </w:rPr>
              <w:t>Typical problems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EE4E8B" w:rsidP="00EE4E8B">
            <w:pPr>
              <w:pStyle w:val="ListBullet"/>
            </w:pPr>
            <w:r w:rsidRPr="00EE4E8B">
              <w:t>contamination</w:t>
            </w:r>
          </w:p>
          <w:p w:rsidR="00000000" w:rsidRPr="00EE4E8B" w:rsidP="00EE4E8B">
            <w:pPr>
              <w:pStyle w:val="ListBullet"/>
            </w:pPr>
            <w:r w:rsidRPr="00EE4E8B">
              <w:t>air entrapment</w:t>
            </w:r>
          </w:p>
          <w:p w:rsidR="00000000" w:rsidRPr="00EE4E8B" w:rsidP="00EE4E8B">
            <w:pPr>
              <w:pStyle w:val="ListBullet"/>
            </w:pPr>
            <w:r w:rsidRPr="00EE4E8B">
              <w:t>resin rich</w:t>
            </w:r>
          </w:p>
          <w:p w:rsidR="00000000" w:rsidRPr="00EE4E8B" w:rsidP="00EE4E8B">
            <w:pPr>
              <w:pStyle w:val="ListBullet"/>
            </w:pPr>
            <w:r w:rsidRPr="00EE4E8B">
              <w:t>uneven distribution of resin</w:t>
            </w:r>
          </w:p>
          <w:p w:rsidR="00000000" w:rsidRPr="00EE4E8B" w:rsidP="00EE4E8B">
            <w:pPr>
              <w:pStyle w:val="ListBullet"/>
            </w:pPr>
            <w:r w:rsidRPr="00EE4E8B">
              <w:t>difficult mould shapes</w:t>
            </w:r>
          </w:p>
          <w:p w:rsidR="00000000" w:rsidRPr="00EE4E8B" w:rsidP="00EE4E8B">
            <w:pPr>
              <w:pStyle w:val="ListBullet"/>
            </w:pPr>
            <w:r w:rsidRPr="00EE4E8B">
              <w:t>resin curing too quickly</w:t>
            </w:r>
          </w:p>
          <w:p w:rsidR="00000000" w:rsidRPr="00EE4E8B" w:rsidP="00EE4E8B">
            <w:pPr>
              <w:pStyle w:val="ListBullet"/>
            </w:pPr>
            <w:r w:rsidRPr="00EE4E8B">
              <w:t>resin curing too slowly</w:t>
            </w:r>
          </w:p>
          <w:p w:rsidR="00000000" w:rsidRPr="00EE4E8B" w:rsidP="00EE4E8B">
            <w:pPr>
              <w:pStyle w:val="ListBullet"/>
            </w:pPr>
            <w:r w:rsidRPr="00EE4E8B">
              <w:t>failure to release</w:t>
            </w:r>
          </w:p>
          <w:p w:rsidR="00000000" w:rsidRPr="00EE4E8B" w:rsidP="00EE4E8B">
            <w:pPr>
              <w:pStyle w:val="BodyText"/>
            </w:pPr>
          </w:p>
        </w:tc>
      </w:tr>
    </w:tbl>
    <w:p w:rsidR="00000000" w:rsidRPr="00EE4E8B" w:rsidP="00EE4E8B">
      <w:pPr>
        <w:pStyle w:val="BodyText"/>
      </w:pPr>
    </w:p>
    <w:p w:rsidR="00000000" w:rsidRPr="00EE4E8B" w:rsidP="00EE4E8B">
      <w:pPr>
        <w:pStyle w:val="AllowPageBreak"/>
      </w:pPr>
    </w:p>
    <w:p w:rsidR="00000000" w:rsidRPr="00EE4E8B" w:rsidP="00EE4E8B">
      <w:pPr>
        <w:pStyle w:val="Heading1"/>
      </w:pPr>
      <w:bookmarkStart w:id="8" w:name="O_951997"/>
      <w:bookmarkEnd w:id="8"/>
      <w:r w:rsidRPr="00EE4E8B">
        <w:t>Unit Mapping Information</w:t>
      </w:r>
    </w:p>
    <w:p w:rsidR="00000000" w:rsidRPr="00EE4E8B" w:rsidP="00F62C63">
      <w:pPr>
        <w:pStyle w:val="BodyText"/>
      </w:pPr>
      <w:r w:rsidRPr="00EE4E8B">
        <w:t xml:space="preserve">Release 1. Supersedes and is equivalent to MEM26001A Lay up composites using open moulding techniques </w:t>
      </w:r>
    </w:p>
    <w:p w:rsidR="00000000" w:rsidRPr="00EE4E8B" w:rsidP="00EE4E8B">
      <w:pPr>
        <w:pStyle w:val="Heading1"/>
      </w:pPr>
      <w:bookmarkStart w:id="9" w:name="O_951990"/>
      <w:bookmarkEnd w:id="9"/>
      <w:r w:rsidRPr="00EE4E8B">
        <w:t>Links</w:t>
      </w:r>
    </w:p>
    <w:p w:rsidR="00000000" w:rsidRPr="00EE4E8B" w:rsidP="00F62C63">
      <w:pPr>
        <w:pStyle w:val="BodyText"/>
      </w:pPr>
      <w:r w:rsidRPr="00EE4E8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D4291">
        <w:rPr>
          <w:rStyle w:val="Hyperlink"/>
        </w:rPr>
        <w:t>https://vetnet.gov.au/Pages/TrainingDocs.aspx?q=b7050d37-5fd0-4740-8f7d-3b7a49c10bb2</w:t>
      </w:r>
      <w:r>
        <w:fldChar w:fldCharType="end"/>
      </w:r>
    </w:p>
    <w:p w:rsidR="00000000" w:rsidRPr="00EE4E8B" w:rsidP="00EE4E8B"/>
    <w:sectPr w:rsidSect="00EE4E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E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E8B" w:rsidRPr="00F62C63" w:rsidP="00F62C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E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C63" w:rsidP="00EE4E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2C63" w:rsidP="00EE4E8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2C63" w:rsidP="00EE4E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E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C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E8B" w:rsidRPr="00F62C63" w:rsidP="00F62C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E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C63" w:rsidRPr="002D2AF8" w:rsidP="00EE4E8B">
    <w:pPr>
      <w:pStyle w:val="Header"/>
      <w:framePr w:wrap="around"/>
    </w:pPr>
    <w:r>
      <w:fldChar w:fldCharType="begin"/>
    </w:r>
    <w:r>
      <w:instrText xml:space="preserve"> TITLE   \* MERGEFORMAT </w:instrText>
    </w:r>
    <w:r>
      <w:fldChar w:fldCharType="separate"/>
    </w:r>
    <w:r>
      <w:t>MEM26001 Lay up composites using open moulding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62C63" w:rsidP="00EE4E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C23F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4EB2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E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E8B"/>
    <w:pPr>
      <w:spacing w:before="360" w:after="60"/>
      <w:outlineLvl w:val="0"/>
    </w:pPr>
    <w:rPr>
      <w:sz w:val="32"/>
    </w:rPr>
  </w:style>
  <w:style w:type="paragraph" w:styleId="Heading2">
    <w:name w:val="heading 2"/>
    <w:basedOn w:val="HeadingBase"/>
    <w:next w:val="BodyText"/>
    <w:link w:val="Heading2Char"/>
    <w:qFormat/>
    <w:rsid w:val="00EE4E8B"/>
    <w:pPr>
      <w:keepLines/>
      <w:spacing w:before="240" w:after="120"/>
      <w:outlineLvl w:val="1"/>
    </w:pPr>
    <w:rPr>
      <w:sz w:val="28"/>
      <w:szCs w:val="40"/>
    </w:rPr>
  </w:style>
  <w:style w:type="paragraph" w:styleId="Heading3">
    <w:name w:val="heading 3"/>
    <w:basedOn w:val="HeadingBase"/>
    <w:next w:val="BodyText"/>
    <w:link w:val="Heading3Char"/>
    <w:qFormat/>
    <w:rsid w:val="00EE4E8B"/>
    <w:pPr>
      <w:spacing w:before="180" w:after="120"/>
      <w:outlineLvl w:val="2"/>
    </w:pPr>
    <w:rPr>
      <w:spacing w:val="-10"/>
      <w:kern w:val="32"/>
    </w:rPr>
  </w:style>
  <w:style w:type="paragraph" w:styleId="Heading4">
    <w:name w:val="heading 4"/>
    <w:basedOn w:val="HeadingBase"/>
    <w:next w:val="BodyText"/>
    <w:link w:val="Heading4Char"/>
    <w:qFormat/>
    <w:rsid w:val="00EE4E8B"/>
    <w:pPr>
      <w:spacing w:before="160" w:after="120"/>
      <w:outlineLvl w:val="3"/>
    </w:pPr>
    <w:rPr>
      <w:sz w:val="22"/>
    </w:rPr>
  </w:style>
  <w:style w:type="paragraph" w:styleId="Heading5">
    <w:name w:val="heading 5"/>
    <w:basedOn w:val="HeadingBase"/>
    <w:next w:val="Normal"/>
    <w:link w:val="Heading5Char"/>
    <w:qFormat/>
    <w:rsid w:val="00EE4E8B"/>
    <w:pPr>
      <w:spacing w:before="80"/>
      <w:outlineLvl w:val="4"/>
    </w:pPr>
    <w:rPr>
      <w:color w:val="918585"/>
      <w:sz w:val="20"/>
    </w:rPr>
  </w:style>
  <w:style w:type="paragraph" w:styleId="Heading6">
    <w:name w:val="heading 6"/>
    <w:basedOn w:val="HeadingBase"/>
    <w:next w:val="Normal"/>
    <w:link w:val="Heading6Char"/>
    <w:qFormat/>
    <w:rsid w:val="00EE4E8B"/>
    <w:pPr>
      <w:spacing w:before="60"/>
      <w:outlineLvl w:val="5"/>
    </w:pPr>
    <w:rPr>
      <w:color w:val="918585"/>
      <w:sz w:val="20"/>
    </w:rPr>
  </w:style>
  <w:style w:type="paragraph" w:styleId="Heading7">
    <w:name w:val="heading 7"/>
    <w:basedOn w:val="Normal"/>
    <w:next w:val="Normal"/>
    <w:link w:val="Heading7Char"/>
    <w:qFormat/>
    <w:rsid w:val="00EE4E8B"/>
    <w:pPr>
      <w:ind w:left="720"/>
      <w:outlineLvl w:val="6"/>
    </w:pPr>
    <w:rPr>
      <w:i/>
    </w:rPr>
  </w:style>
  <w:style w:type="paragraph" w:styleId="Heading8">
    <w:name w:val="heading 8"/>
    <w:basedOn w:val="Normal"/>
    <w:next w:val="Normal"/>
    <w:link w:val="Heading8Char"/>
    <w:qFormat/>
    <w:rsid w:val="00EE4E8B"/>
    <w:pPr>
      <w:ind w:left="720"/>
      <w:outlineLvl w:val="7"/>
    </w:pPr>
    <w:rPr>
      <w:i/>
    </w:rPr>
  </w:style>
  <w:style w:type="paragraph" w:styleId="Heading9">
    <w:name w:val="heading 9"/>
    <w:basedOn w:val="Normal"/>
    <w:next w:val="Normal"/>
    <w:link w:val="Heading9Char"/>
    <w:qFormat/>
    <w:rsid w:val="00EE4E8B"/>
    <w:pPr>
      <w:ind w:left="720"/>
      <w:outlineLvl w:val="8"/>
    </w:pPr>
    <w:rPr>
      <w:i/>
    </w:rPr>
  </w:style>
  <w:style w:type="character" w:default="1" w:styleId="DefaultParagraphFont">
    <w:name w:val="Default Paragraph Font"/>
    <w:uiPriority w:val="1"/>
    <w:unhideWhenUsed/>
    <w:rsid w:val="00EE4E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E8B"/>
  </w:style>
  <w:style w:type="character" w:customStyle="1" w:styleId="Heading1Char">
    <w:name w:val="Heading 1 Char"/>
    <w:basedOn w:val="DefaultParagraphFont"/>
    <w:link w:val="Heading1"/>
    <w:rsid w:val="00EE4E8B"/>
    <w:rPr>
      <w:rFonts w:ascii="Times New Roman" w:eastAsia="Times New Roman" w:hAnsi="Times New Roman" w:cs="Times New Roman"/>
      <w:b/>
      <w:sz w:val="32"/>
      <w:szCs w:val="20"/>
      <w:lang w:eastAsia="en-US"/>
    </w:rPr>
  </w:style>
  <w:style w:type="paragraph" w:styleId="BodyText">
    <w:name w:val="Body Text"/>
    <w:basedOn w:val="Normal"/>
    <w:link w:val="BodyTextChar"/>
    <w:rsid w:val="00EE4E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E8B"/>
    <w:rPr>
      <w:rFonts w:ascii="Times New Roman" w:eastAsia="Times New Roman" w:hAnsi="Times New Roman" w:cs="Times New Roman"/>
      <w:sz w:val="24"/>
      <w:lang w:eastAsia="en-US"/>
    </w:rPr>
  </w:style>
  <w:style w:type="paragraph" w:styleId="ListBullet">
    <w:name w:val="List Bullet"/>
    <w:basedOn w:val="List"/>
    <w:rsid w:val="00EE4E8B"/>
    <w:pPr>
      <w:numPr>
        <w:numId w:val="11"/>
      </w:numPr>
      <w:tabs>
        <w:tab w:val="clear" w:pos="340"/>
      </w:tabs>
      <w:spacing w:before="40" w:after="40"/>
    </w:pPr>
  </w:style>
  <w:style w:type="character" w:customStyle="1" w:styleId="SpecialBold">
    <w:name w:val="Special Bold"/>
    <w:basedOn w:val="DefaultParagraphFont"/>
    <w:rsid w:val="00EE4E8B"/>
    <w:rPr>
      <w:b/>
      <w:spacing w:val="0"/>
    </w:rPr>
  </w:style>
  <w:style w:type="paragraph" w:customStyle="1" w:styleId="SuperHeading">
    <w:name w:val="SuperHeading"/>
    <w:basedOn w:val="Normal"/>
    <w:rsid w:val="00EE4E8B"/>
    <w:pPr>
      <w:spacing w:before="240" w:after="120"/>
      <w:outlineLvl w:val="0"/>
    </w:pPr>
    <w:rPr>
      <w:rFonts w:ascii="Times New Roman" w:hAnsi="Times New Roman"/>
      <w:b/>
      <w:sz w:val="32"/>
    </w:rPr>
  </w:style>
  <w:style w:type="paragraph" w:customStyle="1" w:styleId="AllowPageBreak">
    <w:name w:val="AllowPageBreak"/>
    <w:rsid w:val="00EE4E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4E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E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E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E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E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E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E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E8B"/>
    <w:rPr>
      <w:rFonts w:ascii="Courier New" w:eastAsia="Times New Roman" w:hAnsi="Courier New" w:cs="Times New Roman"/>
      <w:i/>
      <w:szCs w:val="20"/>
      <w:lang w:eastAsia="en-US"/>
    </w:rPr>
  </w:style>
  <w:style w:type="paragraph" w:customStyle="1" w:styleId="HeadingBase">
    <w:name w:val="Heading Base"/>
    <w:rsid w:val="00EE4E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E8B"/>
    <w:pPr>
      <w:tabs>
        <w:tab w:val="right" w:leader="dot" w:pos="9072"/>
      </w:tabs>
      <w:ind w:left="567"/>
    </w:pPr>
    <w:rPr>
      <w:szCs w:val="22"/>
    </w:rPr>
  </w:style>
  <w:style w:type="paragraph" w:customStyle="1" w:styleId="TOCBase">
    <w:name w:val="TOC Base"/>
    <w:rsid w:val="00EE4E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E8B"/>
    <w:pPr>
      <w:tabs>
        <w:tab w:val="right" w:leader="dot" w:pos="9072"/>
      </w:tabs>
      <w:spacing w:before="40" w:after="40"/>
      <w:ind w:left="284"/>
    </w:pPr>
    <w:rPr>
      <w:rFonts w:ascii="Times New Roman" w:hAnsi="Times New Roman"/>
    </w:rPr>
  </w:style>
  <w:style w:type="paragraph" w:styleId="TOC1">
    <w:name w:val="toc 1"/>
    <w:basedOn w:val="TOCBase"/>
    <w:next w:val="Normal"/>
    <w:rsid w:val="00EE4E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E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E8B"/>
    <w:rPr>
      <w:rFonts w:ascii="Times New Roman" w:eastAsia="Times New Roman" w:hAnsi="Times New Roman" w:cs="Times New Roman"/>
      <w:sz w:val="16"/>
      <w:lang w:eastAsia="en-US"/>
    </w:rPr>
  </w:style>
  <w:style w:type="paragraph" w:styleId="Title">
    <w:name w:val="Title"/>
    <w:basedOn w:val="HeadingBase"/>
    <w:link w:val="TitleChar"/>
    <w:qFormat/>
    <w:rsid w:val="00EE4E8B"/>
    <w:pPr>
      <w:spacing w:before="5040"/>
      <w:jc w:val="center"/>
    </w:pPr>
    <w:rPr>
      <w:sz w:val="48"/>
      <w:szCs w:val="72"/>
      <w:lang w:val="en-US"/>
    </w:rPr>
  </w:style>
  <w:style w:type="character" w:customStyle="1" w:styleId="TitleChar">
    <w:name w:val="Title Char"/>
    <w:basedOn w:val="DefaultParagraphFont"/>
    <w:link w:val="Title"/>
    <w:rsid w:val="00EE4E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E8B"/>
    <w:pPr>
      <w:tabs>
        <w:tab w:val="left" w:pos="3600"/>
        <w:tab w:val="left" w:pos="3958"/>
      </w:tabs>
    </w:pPr>
  </w:style>
  <w:style w:type="paragraph" w:styleId="List">
    <w:name w:val="List"/>
    <w:basedOn w:val="BodyText"/>
    <w:next w:val="BodyText"/>
    <w:rsid w:val="00EE4E8B"/>
    <w:pPr>
      <w:tabs>
        <w:tab w:val="left" w:pos="340"/>
      </w:tabs>
      <w:spacing w:before="60" w:after="60"/>
      <w:ind w:left="340" w:hanging="340"/>
    </w:pPr>
  </w:style>
  <w:style w:type="paragraph" w:customStyle="1" w:styleId="Note">
    <w:name w:val="Note"/>
    <w:basedOn w:val="BodyText"/>
    <w:rsid w:val="00EE4E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E8B"/>
    <w:pPr>
      <w:framePr w:wrap="auto" w:hAnchor="text" w:y="6049"/>
    </w:pPr>
    <w:rPr>
      <w:color w:val="000000"/>
      <w:sz w:val="40"/>
    </w:rPr>
  </w:style>
  <w:style w:type="paragraph" w:customStyle="1" w:styleId="TOCTitle">
    <w:name w:val="TOCTitle"/>
    <w:basedOn w:val="Heading1"/>
    <w:rsid w:val="00EE4E8B"/>
    <w:pPr>
      <w:spacing w:after="240"/>
      <w:jc w:val="center"/>
      <w:outlineLvl w:val="9"/>
    </w:pPr>
    <w:rPr>
      <w:caps/>
    </w:rPr>
  </w:style>
  <w:style w:type="paragraph" w:customStyle="1" w:styleId="Version">
    <w:name w:val="Version"/>
    <w:rsid w:val="00EE4E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4E8B"/>
    <w:pPr>
      <w:numPr>
        <w:numId w:val="12"/>
      </w:numPr>
      <w:tabs>
        <w:tab w:val="clear" w:pos="680"/>
      </w:tabs>
    </w:pPr>
  </w:style>
  <w:style w:type="paragraph" w:styleId="Index1">
    <w:name w:val="index 1"/>
    <w:basedOn w:val="Normal"/>
    <w:next w:val="Normal"/>
    <w:semiHidden/>
    <w:rsid w:val="00EE4E8B"/>
    <w:pPr>
      <w:keepNext w:val="0"/>
      <w:tabs>
        <w:tab w:val="right" w:pos="4176"/>
      </w:tabs>
      <w:ind w:left="198" w:hanging="198"/>
    </w:pPr>
    <w:rPr>
      <w:rFonts w:ascii="Garamond" w:hAnsi="Garamond"/>
    </w:rPr>
  </w:style>
  <w:style w:type="paragraph" w:styleId="IndexHeading">
    <w:name w:val="index heading"/>
    <w:basedOn w:val="Normal"/>
    <w:next w:val="Index1"/>
    <w:semiHidden/>
    <w:rsid w:val="00EE4E8B"/>
    <w:pPr>
      <w:spacing w:before="120" w:after="120"/>
    </w:pPr>
    <w:rPr>
      <w:rFonts w:ascii="Arial" w:hAnsi="Arial"/>
      <w:b/>
      <w:color w:val="918585"/>
      <w:sz w:val="24"/>
    </w:rPr>
  </w:style>
  <w:style w:type="paragraph" w:styleId="Header">
    <w:name w:val="header"/>
    <w:basedOn w:val="Normal"/>
    <w:link w:val="HeaderChar"/>
    <w:rsid w:val="00EE4E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E8B"/>
    <w:rPr>
      <w:rFonts w:ascii="Times New Roman" w:eastAsia="Times New Roman" w:hAnsi="Times New Roman" w:cs="Times New Roman"/>
      <w:sz w:val="16"/>
      <w:szCs w:val="20"/>
      <w:lang w:val="en-GB" w:eastAsia="en-US"/>
    </w:rPr>
  </w:style>
  <w:style w:type="paragraph" w:customStyle="1" w:styleId="Chapter">
    <w:name w:val="Chapter"/>
    <w:basedOn w:val="Normal"/>
    <w:rsid w:val="00EE4E8B"/>
    <w:pPr>
      <w:spacing w:before="240"/>
    </w:pPr>
    <w:rPr>
      <w:rFonts w:ascii="Times New Roman" w:hAnsi="Times New Roman"/>
      <w:smallCaps/>
      <w:spacing w:val="80"/>
      <w:sz w:val="28"/>
    </w:rPr>
  </w:style>
  <w:style w:type="paragraph" w:customStyle="1" w:styleId="InChapter">
    <w:name w:val="InChapter"/>
    <w:basedOn w:val="Heading3"/>
    <w:rsid w:val="00EE4E8B"/>
    <w:pPr>
      <w:spacing w:after="240"/>
      <w:outlineLvl w:val="9"/>
    </w:pPr>
    <w:rPr>
      <w:noProof/>
    </w:rPr>
  </w:style>
  <w:style w:type="paragraph" w:styleId="Index2">
    <w:name w:val="index 2"/>
    <w:basedOn w:val="Normal"/>
    <w:next w:val="Normal"/>
    <w:semiHidden/>
    <w:rsid w:val="00EE4E8B"/>
    <w:pPr>
      <w:tabs>
        <w:tab w:val="right" w:pos="4176"/>
      </w:tabs>
      <w:ind w:left="568" w:hanging="284"/>
    </w:pPr>
    <w:rPr>
      <w:rFonts w:ascii="Garamond" w:hAnsi="Garamond"/>
    </w:rPr>
  </w:style>
  <w:style w:type="paragraph" w:customStyle="1" w:styleId="Byline">
    <w:name w:val="Byline"/>
    <w:rsid w:val="00EE4E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E8B"/>
    <w:pPr>
      <w:tabs>
        <w:tab w:val="clear" w:pos="3600"/>
        <w:tab w:val="clear" w:pos="3958"/>
      </w:tabs>
      <w:jc w:val="right"/>
    </w:pPr>
  </w:style>
  <w:style w:type="character" w:styleId="Emphasis">
    <w:name w:val="Emphasis"/>
    <w:basedOn w:val="DefaultParagraphFont"/>
    <w:qFormat/>
    <w:rsid w:val="00EE4E8B"/>
    <w:rPr>
      <w:i/>
    </w:rPr>
  </w:style>
  <w:style w:type="paragraph" w:styleId="Caption">
    <w:name w:val="caption"/>
    <w:basedOn w:val="BodyText"/>
    <w:next w:val="Normal"/>
    <w:qFormat/>
    <w:rsid w:val="00EE4E8B"/>
    <w:pPr>
      <w:framePr w:w="2268" w:hSpace="181" w:vSpace="181" w:wrap="around" w:vAnchor="text" w:hAnchor="page" w:x="1135" w:y="285" w:anchorLock="1"/>
    </w:pPr>
    <w:rPr>
      <w:i/>
    </w:rPr>
  </w:style>
  <w:style w:type="paragraph" w:customStyle="1" w:styleId="MiniTOCTitle">
    <w:name w:val="MiniTOCTitle"/>
    <w:basedOn w:val="Heading4"/>
    <w:rsid w:val="00EE4E8B"/>
    <w:pPr>
      <w:spacing w:before="240"/>
      <w:outlineLvl w:val="9"/>
    </w:pPr>
    <w:rPr>
      <w:noProof/>
      <w:sz w:val="24"/>
    </w:rPr>
  </w:style>
  <w:style w:type="paragraph" w:customStyle="1" w:styleId="MiniTOCItem">
    <w:name w:val="MiniTOCItem"/>
    <w:basedOn w:val="ListBullet"/>
    <w:rsid w:val="00EE4E8B"/>
    <w:pPr>
      <w:numPr>
        <w:numId w:val="0"/>
      </w:numPr>
      <w:tabs>
        <w:tab w:val="right" w:leader="dot" w:pos="6521"/>
      </w:tabs>
      <w:spacing w:before="0" w:after="0"/>
    </w:pPr>
  </w:style>
  <w:style w:type="paragraph" w:customStyle="1" w:styleId="TOFTitle">
    <w:name w:val="TOFTitle"/>
    <w:basedOn w:val="TOCTitle"/>
    <w:rsid w:val="00EE4E8B"/>
  </w:style>
  <w:style w:type="paragraph" w:styleId="TableofFigures">
    <w:name w:val="table of figures"/>
    <w:basedOn w:val="Normal"/>
    <w:next w:val="Normal"/>
    <w:semiHidden/>
    <w:rsid w:val="00EE4E8B"/>
    <w:pPr>
      <w:tabs>
        <w:tab w:val="right" w:leader="dot" w:pos="9072"/>
      </w:tabs>
      <w:ind w:left="970" w:hanging="403"/>
    </w:pPr>
    <w:rPr>
      <w:rFonts w:ascii="Times New Roman" w:hAnsi="Times New Roman"/>
      <w:b/>
    </w:rPr>
  </w:style>
  <w:style w:type="paragraph" w:styleId="ListNumber">
    <w:name w:val="List Number"/>
    <w:basedOn w:val="List"/>
    <w:rsid w:val="00EE4E8B"/>
    <w:pPr>
      <w:numPr>
        <w:numId w:val="14"/>
      </w:numPr>
      <w:tabs>
        <w:tab w:val="clear" w:pos="340"/>
      </w:tabs>
    </w:pPr>
  </w:style>
  <w:style w:type="character" w:customStyle="1" w:styleId="WingdingSymbols">
    <w:name w:val="Wingding Symbols"/>
    <w:rsid w:val="00EE4E8B"/>
    <w:rPr>
      <w:rFonts w:ascii="Wingdings" w:hAnsi="Wingdings"/>
    </w:rPr>
  </w:style>
  <w:style w:type="paragraph" w:customStyle="1" w:styleId="TableHeading">
    <w:name w:val="Table Heading"/>
    <w:basedOn w:val="HeadingBase"/>
    <w:rsid w:val="00EE4E8B"/>
    <w:pPr>
      <w:keepLines/>
      <w:pBdr>
        <w:bottom w:val="single" w:sz="6" w:space="1" w:color="918585"/>
      </w:pBdr>
      <w:spacing w:before="240"/>
    </w:pPr>
  </w:style>
  <w:style w:type="character" w:customStyle="1" w:styleId="HotSpot">
    <w:name w:val="HotSpot"/>
    <w:rsid w:val="00EE4E8B"/>
    <w:rPr>
      <w:color w:val="0033CC"/>
      <w:u w:val="none"/>
    </w:rPr>
  </w:style>
  <w:style w:type="paragraph" w:customStyle="1" w:styleId="BodyTextRight">
    <w:name w:val="Body Text Right"/>
    <w:basedOn w:val="BodyText"/>
    <w:rsid w:val="00EE4E8B"/>
    <w:pPr>
      <w:spacing w:before="0" w:after="0"/>
      <w:jc w:val="right"/>
    </w:pPr>
  </w:style>
  <w:style w:type="paragraph" w:styleId="Index3">
    <w:name w:val="index 3"/>
    <w:basedOn w:val="ListNumber2"/>
    <w:next w:val="Normal"/>
    <w:semiHidden/>
    <w:rsid w:val="00EE4E8B"/>
    <w:pPr>
      <w:numPr>
        <w:numId w:val="0"/>
      </w:numPr>
      <w:tabs>
        <w:tab w:val="right" w:leader="dot" w:pos="4176"/>
      </w:tabs>
    </w:pPr>
  </w:style>
  <w:style w:type="paragraph" w:styleId="ListNumber2">
    <w:name w:val="List Number 2"/>
    <w:basedOn w:val="List2"/>
    <w:rsid w:val="00EE4E8B"/>
    <w:pPr>
      <w:numPr>
        <w:numId w:val="9"/>
      </w:numPr>
      <w:tabs>
        <w:tab w:val="clear" w:pos="1060"/>
      </w:tabs>
    </w:pPr>
  </w:style>
  <w:style w:type="paragraph" w:customStyle="1" w:styleId="MarginNote">
    <w:name w:val="Margin Note"/>
    <w:basedOn w:val="BodyText"/>
    <w:rsid w:val="00EE4E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E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E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E8B"/>
    <w:rPr>
      <w:sz w:val="32"/>
    </w:rPr>
  </w:style>
  <w:style w:type="paragraph" w:customStyle="1" w:styleId="HeadingProcedure">
    <w:name w:val="Heading Procedure"/>
    <w:basedOn w:val="HeadingBase"/>
    <w:next w:val="Normal"/>
    <w:rsid w:val="00EE4E8B"/>
    <w:pPr>
      <w:tabs>
        <w:tab w:val="left" w:pos="0"/>
      </w:tabs>
      <w:spacing w:before="120" w:after="60"/>
    </w:pPr>
    <w:rPr>
      <w:i/>
      <w:color w:val="918585"/>
      <w:sz w:val="22"/>
    </w:rPr>
  </w:style>
  <w:style w:type="paragraph" w:customStyle="1" w:styleId="TableBodyText">
    <w:name w:val="Table Body Text"/>
    <w:basedOn w:val="BodyText"/>
    <w:rsid w:val="00EE4E8B"/>
    <w:pPr>
      <w:spacing w:before="60" w:after="60"/>
    </w:pPr>
  </w:style>
  <w:style w:type="paragraph" w:styleId="ListContinue">
    <w:name w:val="List Continue"/>
    <w:basedOn w:val="List"/>
    <w:rsid w:val="00EE4E8B"/>
    <w:pPr>
      <w:ind w:firstLine="0"/>
    </w:pPr>
  </w:style>
  <w:style w:type="paragraph" w:customStyle="1" w:styleId="ListNote">
    <w:name w:val="List Note"/>
    <w:basedOn w:val="List"/>
    <w:rsid w:val="00EE4E8B"/>
    <w:pPr>
      <w:pBdr>
        <w:top w:val="single" w:sz="6" w:space="2" w:color="918585"/>
        <w:bottom w:val="single" w:sz="6" w:space="2" w:color="918585"/>
      </w:pBdr>
      <w:tabs>
        <w:tab w:val="left" w:pos="1021"/>
      </w:tabs>
      <w:ind w:firstLine="0"/>
    </w:pPr>
  </w:style>
  <w:style w:type="paragraph" w:customStyle="1" w:styleId="Warning">
    <w:name w:val="Warning"/>
    <w:basedOn w:val="BodyText"/>
    <w:rsid w:val="00EE4E8B"/>
    <w:pPr>
      <w:shd w:val="clear" w:color="auto" w:fill="D9D9D9"/>
      <w:tabs>
        <w:tab w:val="left" w:pos="992"/>
      </w:tabs>
      <w:ind w:left="119" w:right="119"/>
    </w:pPr>
    <w:rPr>
      <w:sz w:val="20"/>
    </w:rPr>
  </w:style>
  <w:style w:type="paragraph" w:customStyle="1" w:styleId="MarginIcons">
    <w:name w:val="Margin Icons"/>
    <w:basedOn w:val="BodyText"/>
    <w:rsid w:val="00EE4E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E8B"/>
    <w:rPr>
      <w:rFonts w:ascii="Courier New" w:hAnsi="Courier New"/>
    </w:rPr>
  </w:style>
  <w:style w:type="paragraph" w:customStyle="1" w:styleId="NoteBullet">
    <w:name w:val="Note Bullet"/>
    <w:basedOn w:val="Note"/>
    <w:rsid w:val="00EE4E8B"/>
    <w:pPr>
      <w:tabs>
        <w:tab w:val="clear" w:pos="680"/>
      </w:tabs>
      <w:spacing w:before="60" w:after="60"/>
    </w:pPr>
  </w:style>
  <w:style w:type="paragraph" w:customStyle="1" w:styleId="SubHeading2">
    <w:name w:val="SubHeading2"/>
    <w:basedOn w:val="HeadingBase"/>
    <w:rsid w:val="00EE4E8B"/>
    <w:pPr>
      <w:spacing w:before="240" w:after="60"/>
    </w:pPr>
    <w:rPr>
      <w:sz w:val="20"/>
    </w:rPr>
  </w:style>
  <w:style w:type="paragraph" w:customStyle="1" w:styleId="SubHeading1">
    <w:name w:val="SubHeading1"/>
    <w:basedOn w:val="HeadingBase"/>
    <w:rsid w:val="00EE4E8B"/>
    <w:pPr>
      <w:spacing w:before="240" w:after="60"/>
    </w:pPr>
    <w:rPr>
      <w:color w:val="918585"/>
      <w:sz w:val="22"/>
    </w:rPr>
  </w:style>
  <w:style w:type="paragraph" w:customStyle="1" w:styleId="SideHeading">
    <w:name w:val="Side Heading"/>
    <w:basedOn w:val="HeadingBase"/>
    <w:rsid w:val="00EE4E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E8B"/>
    <w:pPr>
      <w:numPr>
        <w:numId w:val="10"/>
      </w:numPr>
    </w:pPr>
  </w:style>
  <w:style w:type="paragraph" w:styleId="PlainText">
    <w:name w:val="Plain Text"/>
    <w:basedOn w:val="Normal"/>
    <w:link w:val="PlainTextChar"/>
    <w:rsid w:val="00EE4E8B"/>
    <w:rPr>
      <w:sz w:val="20"/>
    </w:rPr>
  </w:style>
  <w:style w:type="character" w:customStyle="1" w:styleId="PlainTextChar">
    <w:name w:val="Plain Text Char"/>
    <w:basedOn w:val="DefaultParagraphFont"/>
    <w:link w:val="PlainText"/>
    <w:rsid w:val="00EE4E8B"/>
    <w:rPr>
      <w:rFonts w:ascii="Courier New" w:eastAsia="Times New Roman" w:hAnsi="Courier New" w:cs="Times New Roman"/>
      <w:sz w:val="20"/>
      <w:szCs w:val="20"/>
      <w:lang w:eastAsia="en-US"/>
    </w:rPr>
  </w:style>
  <w:style w:type="character" w:customStyle="1" w:styleId="MenuOption">
    <w:name w:val="Menu Option"/>
    <w:basedOn w:val="DefaultParagraphFont"/>
    <w:rsid w:val="00EE4E8B"/>
    <w:rPr>
      <w:b/>
      <w:smallCaps/>
    </w:rPr>
  </w:style>
  <w:style w:type="paragraph" w:customStyle="1" w:styleId="TableListNumber">
    <w:name w:val="Table List Number"/>
    <w:basedOn w:val="ListNumber"/>
    <w:rsid w:val="00EE4E8B"/>
    <w:pPr>
      <w:numPr>
        <w:numId w:val="0"/>
      </w:numPr>
    </w:pPr>
  </w:style>
  <w:style w:type="paragraph" w:styleId="TOC4">
    <w:name w:val="toc 4"/>
    <w:basedOn w:val="TOCBase"/>
    <w:next w:val="Normal"/>
    <w:semiHidden/>
    <w:rsid w:val="00EE4E8B"/>
    <w:pPr>
      <w:tabs>
        <w:tab w:val="right" w:leader="dot" w:pos="9071"/>
      </w:tabs>
      <w:ind w:left="1701"/>
    </w:pPr>
  </w:style>
  <w:style w:type="paragraph" w:customStyle="1" w:styleId="ListAlpha">
    <w:name w:val="List Alpha"/>
    <w:basedOn w:val="List"/>
    <w:rsid w:val="00EE4E8B"/>
    <w:pPr>
      <w:numPr>
        <w:numId w:val="8"/>
      </w:numPr>
    </w:pPr>
  </w:style>
  <w:style w:type="paragraph" w:customStyle="1" w:styleId="ListAlpha2">
    <w:name w:val="List Alpha 2"/>
    <w:basedOn w:val="List2"/>
    <w:rsid w:val="00EE4E8B"/>
    <w:pPr>
      <w:numPr>
        <w:numId w:val="7"/>
      </w:numPr>
    </w:pPr>
  </w:style>
  <w:style w:type="paragraph" w:styleId="List2">
    <w:name w:val="List 2"/>
    <w:basedOn w:val="BodyText"/>
    <w:rsid w:val="00EE4E8B"/>
    <w:pPr>
      <w:tabs>
        <w:tab w:val="left" w:pos="680"/>
      </w:tabs>
      <w:spacing w:before="60" w:after="60"/>
      <w:ind w:left="680" w:hanging="340"/>
    </w:pPr>
  </w:style>
  <w:style w:type="paragraph" w:styleId="List3">
    <w:name w:val="List 3"/>
    <w:basedOn w:val="BodyText"/>
    <w:rsid w:val="00EE4E8B"/>
    <w:pPr>
      <w:tabs>
        <w:tab w:val="left" w:pos="1021"/>
      </w:tabs>
      <w:spacing w:before="60" w:after="60"/>
      <w:ind w:left="1020" w:hanging="340"/>
    </w:pPr>
  </w:style>
  <w:style w:type="paragraph" w:styleId="List4">
    <w:name w:val="List 4"/>
    <w:basedOn w:val="BodyText"/>
    <w:rsid w:val="00EE4E8B"/>
    <w:pPr>
      <w:tabs>
        <w:tab w:val="left" w:pos="1361"/>
      </w:tabs>
      <w:spacing w:before="60" w:after="60"/>
      <w:ind w:left="1361" w:hanging="340"/>
    </w:pPr>
  </w:style>
  <w:style w:type="paragraph" w:styleId="List5">
    <w:name w:val="List 5"/>
    <w:basedOn w:val="BodyText"/>
    <w:rsid w:val="00EE4E8B"/>
    <w:pPr>
      <w:tabs>
        <w:tab w:val="left" w:pos="1701"/>
      </w:tabs>
      <w:spacing w:before="60" w:after="60"/>
      <w:ind w:left="1701" w:hanging="340"/>
    </w:pPr>
  </w:style>
  <w:style w:type="paragraph" w:styleId="ListBullet3">
    <w:name w:val="List Bullet 3"/>
    <w:basedOn w:val="List3"/>
    <w:rsid w:val="00EE4E8B"/>
    <w:pPr>
      <w:numPr>
        <w:numId w:val="13"/>
      </w:numPr>
      <w:tabs>
        <w:tab w:val="clear" w:pos="1021"/>
      </w:tabs>
      <w:ind w:left="1037" w:hanging="357"/>
    </w:pPr>
  </w:style>
  <w:style w:type="paragraph" w:styleId="ListBullet4">
    <w:name w:val="List Bullet 4"/>
    <w:basedOn w:val="List4"/>
    <w:rsid w:val="00EE4E8B"/>
    <w:pPr>
      <w:numPr>
        <w:numId w:val="2"/>
      </w:numPr>
      <w:tabs>
        <w:tab w:val="clear" w:pos="1361"/>
      </w:tabs>
    </w:pPr>
  </w:style>
  <w:style w:type="paragraph" w:styleId="ListBullet5">
    <w:name w:val="List Bullet 5"/>
    <w:basedOn w:val="List5"/>
    <w:rsid w:val="00EE4E8B"/>
    <w:pPr>
      <w:numPr>
        <w:numId w:val="3"/>
      </w:numPr>
    </w:pPr>
  </w:style>
  <w:style w:type="paragraph" w:styleId="ListContinue2">
    <w:name w:val="List Continue 2"/>
    <w:basedOn w:val="List2"/>
    <w:rsid w:val="00EE4E8B"/>
    <w:pPr>
      <w:ind w:firstLine="0"/>
    </w:pPr>
  </w:style>
  <w:style w:type="paragraph" w:styleId="ListContinue3">
    <w:name w:val="List Continue 3"/>
    <w:basedOn w:val="List3"/>
    <w:rsid w:val="00EE4E8B"/>
    <w:pPr>
      <w:ind w:left="1021" w:firstLine="0"/>
    </w:pPr>
  </w:style>
  <w:style w:type="paragraph" w:styleId="ListContinue4">
    <w:name w:val="List Continue 4"/>
    <w:basedOn w:val="List4"/>
    <w:rsid w:val="00EE4E8B"/>
    <w:pPr>
      <w:ind w:firstLine="0"/>
    </w:pPr>
  </w:style>
  <w:style w:type="paragraph" w:styleId="ListContinue5">
    <w:name w:val="List Continue 5"/>
    <w:basedOn w:val="List5"/>
    <w:rsid w:val="00EE4E8B"/>
    <w:pPr>
      <w:ind w:firstLine="0"/>
    </w:pPr>
  </w:style>
  <w:style w:type="paragraph" w:styleId="ListNumber3">
    <w:name w:val="List Number 3"/>
    <w:basedOn w:val="List3"/>
    <w:rsid w:val="00EE4E8B"/>
    <w:pPr>
      <w:numPr>
        <w:numId w:val="4"/>
      </w:numPr>
    </w:pPr>
  </w:style>
  <w:style w:type="paragraph" w:styleId="ListNumber4">
    <w:name w:val="List Number 4"/>
    <w:basedOn w:val="List4"/>
    <w:rsid w:val="00EE4E8B"/>
    <w:pPr>
      <w:numPr>
        <w:numId w:val="5"/>
      </w:numPr>
    </w:pPr>
  </w:style>
  <w:style w:type="paragraph" w:styleId="ListNumber5">
    <w:name w:val="List Number 5"/>
    <w:basedOn w:val="List5"/>
    <w:rsid w:val="00EE4E8B"/>
    <w:pPr>
      <w:numPr>
        <w:numId w:val="6"/>
      </w:numPr>
    </w:pPr>
  </w:style>
  <w:style w:type="paragraph" w:styleId="BlockText">
    <w:name w:val="Block Text"/>
    <w:basedOn w:val="Normal"/>
    <w:rsid w:val="00EE4E8B"/>
    <w:pPr>
      <w:spacing w:after="120"/>
      <w:ind w:left="1440" w:right="1440"/>
    </w:pPr>
  </w:style>
  <w:style w:type="character" w:customStyle="1" w:styleId="Subscript">
    <w:name w:val="Subscript"/>
    <w:basedOn w:val="DefaultParagraphFont"/>
    <w:rsid w:val="00EE4E8B"/>
    <w:rPr>
      <w:sz w:val="16"/>
      <w:vertAlign w:val="subscript"/>
    </w:rPr>
  </w:style>
  <w:style w:type="character" w:customStyle="1" w:styleId="Superscript">
    <w:name w:val="Superscript"/>
    <w:basedOn w:val="DefaultParagraphFont"/>
    <w:rsid w:val="00EE4E8B"/>
    <w:rPr>
      <w:sz w:val="16"/>
      <w:vertAlign w:val="superscript"/>
    </w:rPr>
  </w:style>
  <w:style w:type="character" w:customStyle="1" w:styleId="Symbols">
    <w:name w:val="Symbols"/>
    <w:basedOn w:val="DefaultParagraphFont"/>
    <w:rsid w:val="00EE4E8B"/>
    <w:rPr>
      <w:rFonts w:ascii="Symbol" w:hAnsi="Symbol"/>
    </w:rPr>
  </w:style>
  <w:style w:type="character" w:customStyle="1" w:styleId="MenuOptions">
    <w:name w:val="Menu Options"/>
    <w:basedOn w:val="DefaultParagraphFont"/>
    <w:rsid w:val="00EE4E8B"/>
    <w:rPr>
      <w:rFonts w:ascii="Arial Narrow" w:hAnsi="Arial Narrow"/>
      <w:smallCaps/>
    </w:rPr>
  </w:style>
  <w:style w:type="character" w:customStyle="1" w:styleId="Buttons">
    <w:name w:val="Buttons"/>
    <w:basedOn w:val="DefaultParagraphFont"/>
    <w:rsid w:val="00EE4E8B"/>
    <w:rPr>
      <w:b/>
    </w:rPr>
  </w:style>
  <w:style w:type="character" w:customStyle="1" w:styleId="Underlined">
    <w:name w:val="Underlined"/>
    <w:basedOn w:val="DefaultParagraphFont"/>
    <w:rsid w:val="00EE4E8B"/>
    <w:rPr>
      <w:u w:val="single"/>
    </w:rPr>
  </w:style>
  <w:style w:type="paragraph" w:customStyle="1" w:styleId="TableBodyTextRight">
    <w:name w:val="Table Body Text Right"/>
    <w:basedOn w:val="TableBodyText"/>
    <w:rsid w:val="00EE4E8B"/>
    <w:pPr>
      <w:widowControl w:val="0"/>
      <w:autoSpaceDE w:val="0"/>
      <w:autoSpaceDN w:val="0"/>
      <w:adjustRightInd w:val="0"/>
      <w:jc w:val="right"/>
    </w:pPr>
    <w:rPr>
      <w:rFonts w:cs="Arial"/>
      <w:szCs w:val="18"/>
    </w:rPr>
  </w:style>
  <w:style w:type="paragraph" w:customStyle="1" w:styleId="CopyrightText">
    <w:name w:val="Copyright Text"/>
    <w:basedOn w:val="BodyText"/>
    <w:rsid w:val="00EE4E8B"/>
    <w:rPr>
      <w:sz w:val="18"/>
    </w:rPr>
  </w:style>
  <w:style w:type="paragraph" w:customStyle="1" w:styleId="BodySmallRight">
    <w:name w:val="Body Small Right"/>
    <w:basedOn w:val="BodyTextRight"/>
    <w:rsid w:val="00EE4E8B"/>
    <w:rPr>
      <w:sz w:val="18"/>
      <w:szCs w:val="18"/>
    </w:rPr>
  </w:style>
  <w:style w:type="paragraph" w:customStyle="1" w:styleId="MarginEdition">
    <w:name w:val="Margin Edition"/>
    <w:basedOn w:val="MarginNote"/>
    <w:rsid w:val="00EE4E8B"/>
    <w:pPr>
      <w:spacing w:before="0" w:after="0"/>
    </w:pPr>
    <w:rPr>
      <w:rFonts w:ascii="Times New Roman" w:hAnsi="Times New Roman"/>
      <w:color w:val="999999"/>
    </w:rPr>
  </w:style>
  <w:style w:type="paragraph" w:customStyle="1" w:styleId="Spacer">
    <w:name w:val="Spacer"/>
    <w:basedOn w:val="Normal"/>
    <w:rsid w:val="00EE4E8B"/>
    <w:rPr>
      <w:sz w:val="2"/>
      <w:szCs w:val="2"/>
    </w:rPr>
  </w:style>
  <w:style w:type="character" w:customStyle="1" w:styleId="Small">
    <w:name w:val="Small"/>
    <w:basedOn w:val="DefaultParagraphFont"/>
    <w:rsid w:val="00EE4E8B"/>
    <w:rPr>
      <w:sz w:val="16"/>
    </w:rPr>
  </w:style>
  <w:style w:type="paragraph" w:customStyle="1" w:styleId="WideTable">
    <w:name w:val="Wide Table"/>
    <w:basedOn w:val="Normal"/>
    <w:rsid w:val="00EE4E8B"/>
    <w:pPr>
      <w:ind w:left="-1418"/>
    </w:pPr>
    <w:rPr>
      <w:sz w:val="2"/>
      <w:szCs w:val="2"/>
    </w:rPr>
  </w:style>
  <w:style w:type="character" w:styleId="PageNumber">
    <w:name w:val="page number"/>
    <w:basedOn w:val="DefaultParagraphFont"/>
    <w:rsid w:val="00EE4E8B"/>
  </w:style>
  <w:style w:type="paragraph" w:styleId="Quote">
    <w:name w:val="Quote"/>
    <w:basedOn w:val="Heading1"/>
    <w:link w:val="QuoteChar"/>
    <w:qFormat/>
    <w:rsid w:val="00EE4E8B"/>
    <w:rPr>
      <w:b w:val="0"/>
      <w:sz w:val="72"/>
      <w:szCs w:val="72"/>
      <w:lang w:val="en-NZ"/>
    </w:rPr>
  </w:style>
  <w:style w:type="character" w:customStyle="1" w:styleId="QuoteChar">
    <w:name w:val="Quote Char"/>
    <w:basedOn w:val="DefaultParagraphFont"/>
    <w:link w:val="Quote"/>
    <w:rsid w:val="00EE4E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E8B"/>
    <w:pPr>
      <w:pageBreakBefore/>
    </w:pPr>
  </w:style>
  <w:style w:type="paragraph" w:customStyle="1" w:styleId="Border">
    <w:name w:val="Border"/>
    <w:basedOn w:val="Normal"/>
    <w:qFormat/>
    <w:rsid w:val="00EE4E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E8B"/>
    <w:rPr>
      <w:b/>
      <w:bCs/>
      <w:i/>
      <w:iCs/>
      <w:color w:val="auto"/>
    </w:rPr>
  </w:style>
  <w:style w:type="paragraph" w:styleId="IntenseQuote">
    <w:name w:val="Intense Quote"/>
    <w:basedOn w:val="Normal"/>
    <w:next w:val="Normal"/>
    <w:link w:val="IntenseQuoteChar"/>
    <w:uiPriority w:val="30"/>
    <w:qFormat/>
    <w:rsid w:val="00EE4E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E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E8B"/>
    <w:rPr>
      <w:smallCaps/>
      <w:color w:val="auto"/>
      <w:u w:val="single"/>
    </w:rPr>
  </w:style>
  <w:style w:type="character" w:styleId="IntenseReference">
    <w:name w:val="Intense Reference"/>
    <w:basedOn w:val="DefaultParagraphFont"/>
    <w:uiPriority w:val="32"/>
    <w:qFormat/>
    <w:rsid w:val="00EE4E8B"/>
    <w:rPr>
      <w:b/>
      <w:bCs/>
      <w:smallCaps/>
      <w:color w:val="auto"/>
      <w:spacing w:val="5"/>
      <w:u w:val="single"/>
    </w:rPr>
  </w:style>
  <w:style w:type="paragraph" w:customStyle="1" w:styleId="2ColumnHeading">
    <w:name w:val="2Column Heading"/>
    <w:basedOn w:val="BodyText"/>
    <w:qFormat/>
    <w:rsid w:val="00EE4E8B"/>
    <w:pPr>
      <w:spacing w:after="60"/>
      <w:ind w:left="-2268"/>
    </w:pPr>
    <w:rPr>
      <w:b/>
    </w:rPr>
  </w:style>
  <w:style w:type="paragraph" w:customStyle="1" w:styleId="Heading1TOC">
    <w:name w:val="Heading1 TOC"/>
    <w:basedOn w:val="Normal"/>
    <w:qFormat/>
    <w:rsid w:val="00EE4E8B"/>
    <w:pPr>
      <w:spacing w:before="240" w:after="120"/>
    </w:pPr>
    <w:rPr>
      <w:rFonts w:ascii="Times New Roman" w:hAnsi="Times New Roman"/>
      <w:b/>
      <w:sz w:val="32"/>
    </w:rPr>
  </w:style>
  <w:style w:type="paragraph" w:customStyle="1" w:styleId="Heading2TOC">
    <w:name w:val="Heading2 TOC"/>
    <w:basedOn w:val="Normal"/>
    <w:qFormat/>
    <w:rsid w:val="00EE4E8B"/>
    <w:pPr>
      <w:spacing w:before="240" w:after="60"/>
    </w:pPr>
    <w:rPr>
      <w:rFonts w:ascii="Times New Roman" w:hAnsi="Times New Roman"/>
      <w:b/>
      <w:sz w:val="28"/>
    </w:rPr>
  </w:style>
  <w:style w:type="character" w:customStyle="1" w:styleId="Underline">
    <w:name w:val="Underline"/>
    <w:basedOn w:val="DefaultParagraphFont"/>
    <w:qFormat/>
    <w:rsid w:val="00EE4E8B"/>
    <w:rPr>
      <w:u w:val="single"/>
    </w:rPr>
  </w:style>
  <w:style w:type="character" w:customStyle="1" w:styleId="BoldandItalics">
    <w:name w:val="Bold and Italics"/>
    <w:qFormat/>
    <w:rsid w:val="00EE4E8B"/>
    <w:rPr>
      <w:b/>
      <w:i/>
      <w:u w:val="none"/>
    </w:rPr>
  </w:style>
  <w:style w:type="paragraph" w:styleId="BalloonText">
    <w:name w:val="Balloon Text"/>
    <w:basedOn w:val="Normal"/>
    <w:link w:val="BalloonTextChar"/>
    <w:rsid w:val="00EE4E8B"/>
    <w:rPr>
      <w:rFonts w:ascii="Tahoma" w:hAnsi="Tahoma" w:cs="Tahoma"/>
      <w:sz w:val="16"/>
      <w:szCs w:val="16"/>
    </w:rPr>
  </w:style>
  <w:style w:type="character" w:customStyle="1" w:styleId="BalloonTextChar">
    <w:name w:val="Balloon Text Char"/>
    <w:basedOn w:val="DefaultParagraphFont"/>
    <w:link w:val="BalloonText"/>
    <w:rsid w:val="00EE4E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E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E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E8B"/>
    <w:rPr>
      <w:b/>
      <w:color w:val="660033"/>
      <w:spacing w:val="0"/>
    </w:rPr>
  </w:style>
  <w:style w:type="paragraph" w:customStyle="1" w:styleId="Nameditemlist">
    <w:name w:val="Named item list"/>
    <w:basedOn w:val="BodyText"/>
    <w:qFormat/>
    <w:rsid w:val="00EE4E8B"/>
    <w:pPr>
      <w:tabs>
        <w:tab w:val="left" w:pos="2835"/>
      </w:tabs>
      <w:ind w:left="2835" w:hanging="2835"/>
    </w:pPr>
  </w:style>
  <w:style w:type="paragraph" w:customStyle="1" w:styleId="BodyTextnopadding">
    <w:name w:val="Body Text no padding"/>
    <w:basedOn w:val="BodyText"/>
    <w:qFormat/>
    <w:rsid w:val="00EE4E8B"/>
    <w:pPr>
      <w:spacing w:before="0" w:after="0"/>
    </w:pPr>
  </w:style>
  <w:style w:type="paragraph" w:customStyle="1" w:styleId="BodyTextBold">
    <w:name w:val="Body Text Bold"/>
    <w:basedOn w:val="BodyText"/>
    <w:qFormat/>
    <w:rsid w:val="00EE4E8B"/>
    <w:rPr>
      <w:b/>
    </w:rPr>
  </w:style>
  <w:style w:type="character" w:styleId="Hyperlink">
    <w:name w:val="Hyperlink"/>
    <w:basedOn w:val="DefaultParagraphFont"/>
    <w:uiPriority w:val="99"/>
    <w:unhideWhenUsed/>
    <w:rsid w:val="00F62C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4079</Characters>
  <Application>Microsoft Office Word</Application>
  <DocSecurity>0</DocSecurity>
  <Lines>239</Lines>
  <Paragraphs>128</Paragraphs>
  <ScaleCrop>false</ScaleCrop>
  <Company>Author-it Software Corporation Ltd.</Company>
  <LinksUpToDate>false</LinksUpToDate>
  <CharactersWithSpaces>4611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MEM26001 Lay up composites using open moulding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2023-02-03T08:13:00Z</dcterms:created>
  <dcterms:modified xsi:type="dcterms:W3CDTF">2023-02-03T08:13:00Z</dcterms:modified>
</cp:coreProperties>
</file>