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CE2" w:rsidP="00125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MEM25012 Install and test operations of marine auxiliary systems</w:t>
      </w:r>
      <w:r>
        <w:fldChar w:fldCharType="end"/>
      </w:r>
    </w:p>
    <w:p w:rsidR="00125CE2" w:rsidP="00125CE2">
      <w:pPr>
        <w:pStyle w:val="Version"/>
        <w:sectPr w:rsidSect="00ED3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6D2" w:rsidP="00ED36D2">
      <w:pPr>
        <w:pStyle w:val="SuperHeading"/>
      </w:pPr>
      <w:r w:rsidRPr="00ED36D2">
        <w:t>MEM25012 Install and test operations of marine auxiliary systems</w:t>
      </w:r>
    </w:p>
    <w:p w:rsidR="00000000" w:rsidRPr="00ED36D2" w:rsidP="00ED36D2">
      <w:pPr>
        <w:pStyle w:val="Heading1"/>
      </w:pPr>
      <w:bookmarkStart w:id="1" w:name="O_953841"/>
      <w:bookmarkEnd w:id="1"/>
      <w:r w:rsidRPr="00ED36D2">
        <w:t>Modification History</w:t>
      </w:r>
    </w:p>
    <w:p w:rsidR="00000000" w:rsidRPr="00ED36D2" w:rsidP="00125CE2">
      <w:pPr>
        <w:pStyle w:val="BodyText"/>
      </w:pPr>
      <w:r w:rsidRPr="00ED36D2">
        <w:t xml:space="preserve">Release 1. Supersedes and is equivalent to MEM25012B Install and test operations of marine auxiliary systems </w:t>
      </w:r>
    </w:p>
    <w:p w:rsidR="00000000" w:rsidRPr="00ED36D2" w:rsidP="00ED36D2">
      <w:pPr>
        <w:pStyle w:val="Heading1"/>
      </w:pPr>
      <w:bookmarkStart w:id="2" w:name="O_953849"/>
      <w:bookmarkEnd w:id="2"/>
      <w:r w:rsidRPr="00ED36D2">
        <w:t>Application</w:t>
      </w:r>
    </w:p>
    <w:p w:rsidR="00000000" w:rsidRPr="00ED36D2" w:rsidP="00125CE2">
      <w:pPr>
        <w:pStyle w:val="BodyText"/>
      </w:pPr>
      <w:r w:rsidRPr="00ED36D2">
        <w:t>This un</w:t>
      </w:r>
      <w:r w:rsidRPr="00ED36D2">
        <w:t>it of competency defines the skills and knowledge required to install and test marine auxiliary systems.</w:t>
      </w:r>
    </w:p>
    <w:p w:rsidR="00000000" w:rsidRPr="00ED36D2" w:rsidP="00125CE2">
      <w:pPr>
        <w:pStyle w:val="BodyText"/>
      </w:pPr>
      <w:r w:rsidRPr="00ED36D2">
        <w:t>Site locations can include external and internal locations for foundations, footings, beds and frameworks completed prior to installation and commissi</w:t>
      </w:r>
      <w:r w:rsidRPr="00ED36D2">
        <w:t>oning and tasks can be undertaken in a workshop/site, moored or in a sea-trial situation.</w:t>
      </w:r>
    </w:p>
    <w:p w:rsidR="00000000" w:rsidRPr="00ED36D2" w:rsidP="00125CE2">
      <w:pPr>
        <w:pStyle w:val="BodyText"/>
      </w:pPr>
      <w:r w:rsidRPr="00ED36D2">
        <w:t>Where installation only is required unit MEM25015 Assemble and install equipment and accessories/ancillaries should be selected.</w:t>
      </w:r>
    </w:p>
    <w:p w:rsidR="00000000" w:rsidRPr="00ED36D2" w:rsidP="00125CE2">
      <w:pPr>
        <w:pStyle w:val="BodyText"/>
      </w:pPr>
      <w:r w:rsidRPr="00ED36D2">
        <w:t>No licensing, legislative or certif</w:t>
      </w:r>
      <w:r w:rsidRPr="00ED36D2">
        <w:t xml:space="preserve">ication requirements apply to this unit at the time of publication. </w:t>
      </w:r>
    </w:p>
    <w:p w:rsidR="00000000" w:rsidRPr="00ED36D2" w:rsidP="00ED36D2">
      <w:pPr>
        <w:pStyle w:val="BodyText"/>
      </w:pPr>
      <w:r w:rsidRPr="00ED36D2">
        <w:rPr>
          <w:rStyle w:val="SpecialBold"/>
        </w:rPr>
        <w:t>Band</w:t>
      </w:r>
      <w:r w:rsidRPr="00ED36D2">
        <w:t>:</w:t>
      </w:r>
      <w:r w:rsidRPr="00ED36D2">
        <w:tab/>
      </w:r>
      <w:r w:rsidRPr="00ED36D2">
        <w:rPr>
          <w:rStyle w:val="SpecialBold"/>
        </w:rPr>
        <w:t>A</w:t>
      </w:r>
    </w:p>
    <w:p w:rsidR="00000000" w:rsidRPr="00ED36D2" w:rsidP="00ED36D2">
      <w:pPr>
        <w:pStyle w:val="BodyText"/>
      </w:pPr>
      <w:r w:rsidRPr="00ED36D2">
        <w:rPr>
          <w:rStyle w:val="SpecialBold"/>
        </w:rPr>
        <w:t>Unit Weight</w:t>
      </w:r>
      <w:r w:rsidRPr="00ED36D2">
        <w:t>:</w:t>
      </w:r>
      <w:r w:rsidRPr="00ED36D2">
        <w:tab/>
      </w:r>
      <w:r w:rsidRPr="00ED36D2">
        <w:rPr>
          <w:rStyle w:val="SpecialBold"/>
        </w:rPr>
        <w:t>6</w:t>
      </w:r>
    </w:p>
    <w:p w:rsidR="00000000" w:rsidRPr="00ED36D2" w:rsidP="00ED36D2">
      <w:pPr>
        <w:pStyle w:val="AllowPageBreak"/>
      </w:pPr>
    </w:p>
    <w:p w:rsidR="00000000" w:rsidRPr="00ED36D2" w:rsidP="00ED36D2">
      <w:pPr>
        <w:pStyle w:val="Heading1"/>
      </w:pPr>
      <w:bookmarkStart w:id="3" w:name="O_953848"/>
      <w:bookmarkEnd w:id="3"/>
      <w:r w:rsidRPr="00ED36D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Undertake manual handling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Work safely with industrial chemicals and materials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Work safely and effectively in manufacturing and engineering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Organise and communicate information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Use hand tools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BodyText"/>
            </w:pPr>
            <w:r w:rsidRPr="00ED36D2">
              <w:t>Use power tools/hand held operations</w:t>
            </w:r>
          </w:p>
        </w:tc>
      </w:tr>
    </w:tbl>
    <w:p w:rsidR="00000000" w:rsidRPr="00ED36D2" w:rsidP="00ED36D2">
      <w:pPr>
        <w:pStyle w:val="BodyText"/>
      </w:pPr>
    </w:p>
    <w:p w:rsidR="00000000" w:rsidRPr="00ED36D2" w:rsidP="00ED36D2">
      <w:pPr>
        <w:pStyle w:val="AllowPageBreak"/>
      </w:pPr>
    </w:p>
    <w:p w:rsidR="00000000" w:rsidRPr="00ED36D2" w:rsidP="00ED36D2">
      <w:pPr>
        <w:pStyle w:val="Heading1"/>
      </w:pPr>
      <w:bookmarkStart w:id="4" w:name="O_953847"/>
      <w:bookmarkEnd w:id="4"/>
      <w:r w:rsidRPr="00ED36D2">
        <w:t>Competency Field</w:t>
      </w:r>
    </w:p>
    <w:p w:rsidR="00000000" w:rsidRPr="00ED36D2" w:rsidP="00125CE2">
      <w:pPr>
        <w:pStyle w:val="BodyText"/>
      </w:pPr>
      <w:r w:rsidRPr="00ED36D2">
        <w:t>Marine craft construction</w:t>
      </w:r>
    </w:p>
    <w:p w:rsidR="00000000" w:rsidRPr="00ED36D2" w:rsidP="00ED36D2">
      <w:pPr>
        <w:pStyle w:val="Heading1"/>
      </w:pPr>
      <w:bookmarkStart w:id="5" w:name="O_953845"/>
      <w:bookmarkEnd w:id="5"/>
      <w:r w:rsidRPr="00ED36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Performance criteria describe the performance needed to demonstrate achievement of the element.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BodyText"/>
            </w:pPr>
            <w:r w:rsidRPr="00ED36D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Follow standard operating procedures (SOPs)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Comply with work health and safety (WHS) requirements at all times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Use appropriate personal protective equipment (PPE) in accordance with SOPs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Identify job requirements from specifications, job sheets or work instructions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BodyText"/>
            </w:pPr>
            <w:r w:rsidRPr="00ED36D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>Select auxiliary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Identify installation and compatibility of surface and fitting materials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Identify installation site of system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Select auxiliary system in accordance with job requirements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Identify material structure and installation procedures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 xml:space="preserve">Identify and verify associated installation/assembly plans/instruction 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BodyText"/>
            </w:pPr>
            <w:r w:rsidRPr="00ED36D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>Install auxiliary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Select appropriate tools for specified installation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Cut structural area to suit installation requirements, where applicable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Fit structural reinforcement to suit job requirement, where applicable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Prepare structural area for surface preparation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Apply coating sealants and/or isolation materials to suit job requirements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 xml:space="preserve">Apply fastening methods 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Apply installation procedures in accordance with job specification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Apply clean work practices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BodyText"/>
            </w:pPr>
            <w:r w:rsidRPr="00ED36D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>Test operation of auxiliary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Apply pre-test checks and verify before standard testing procedures are actioned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 xml:space="preserve">Identify and verify test operation procedures 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Set up and use test equipment in accordance with testing practice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Test system in accordance with specified operational procedures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Record/report faults to appropriate authorities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Rectify faults and re-test for correct operation</w:t>
            </w:r>
          </w:p>
        </w:tc>
      </w:tr>
      <w:tr w:rsidTr="00ED3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BodyText"/>
            </w:pPr>
            <w:r w:rsidRPr="00ED36D2">
              <w:t>Record and document final test operation according to SOPs</w:t>
            </w:r>
          </w:p>
        </w:tc>
      </w:tr>
    </w:tbl>
    <w:p w:rsidR="00000000" w:rsidRPr="00ED36D2" w:rsidP="00ED36D2">
      <w:pPr>
        <w:pStyle w:val="BodyText"/>
      </w:pPr>
    </w:p>
    <w:p w:rsidR="00000000" w:rsidRPr="00ED36D2" w:rsidP="00ED36D2">
      <w:pPr>
        <w:pStyle w:val="AllowPageBreak"/>
      </w:pPr>
    </w:p>
    <w:p w:rsidR="00000000" w:rsidRPr="00ED36D2" w:rsidP="00ED36D2">
      <w:pPr>
        <w:pStyle w:val="Heading1"/>
      </w:pPr>
      <w:bookmarkStart w:id="6" w:name="O_953844"/>
      <w:bookmarkEnd w:id="6"/>
      <w:r w:rsidRPr="00ED36D2">
        <w:t>Foundation Skills</w:t>
      </w:r>
    </w:p>
    <w:p w:rsidR="00000000" w:rsidRPr="00ED36D2" w:rsidP="00125CE2">
      <w:pPr>
        <w:pStyle w:val="BodyText"/>
      </w:pPr>
      <w:r w:rsidRPr="00ED36D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D36D2" w:rsidP="00125CE2">
      <w:pPr>
        <w:pStyle w:val="BodyText"/>
      </w:pPr>
      <w:r w:rsidRPr="00ED36D2">
        <w:t>Foundation skills essential to performance are explicit in</w:t>
      </w:r>
      <w:r w:rsidRPr="00ED36D2">
        <w:t xml:space="preserve"> the performance criteria of this unit of competency.</w:t>
      </w:r>
    </w:p>
    <w:p w:rsidR="00000000" w:rsidRPr="00ED36D2" w:rsidP="00ED36D2">
      <w:pPr>
        <w:pStyle w:val="Heading1"/>
      </w:pPr>
      <w:bookmarkStart w:id="7" w:name="O_953843"/>
      <w:bookmarkEnd w:id="7"/>
      <w:r w:rsidRPr="00ED36D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ED36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t>This field allows for different work environments and conditions that may affect performance. Essential operating conditions that may be present (depending on the wo</w:t>
            </w:r>
            <w:r w:rsidRPr="00ED36D2">
              <w:t>rk situation, needs of the candidate, accessibility of the item, and local industry and regional contexts) are included.</w:t>
            </w:r>
          </w:p>
        </w:tc>
      </w:tr>
      <w:tr w:rsidTr="00ED36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ListBullet"/>
            </w:pPr>
            <w:r w:rsidRPr="00ED36D2">
              <w:t>metals</w:t>
            </w:r>
          </w:p>
          <w:p w:rsidR="00000000" w:rsidRPr="00ED36D2" w:rsidP="00ED36D2">
            <w:pPr>
              <w:pStyle w:val="ListBullet"/>
            </w:pPr>
            <w:r w:rsidRPr="00ED36D2">
              <w:t>timber</w:t>
            </w:r>
          </w:p>
          <w:p w:rsidR="00000000" w:rsidRPr="00ED36D2" w:rsidP="00ED36D2">
            <w:pPr>
              <w:pStyle w:val="ListBullet"/>
            </w:pPr>
            <w:r w:rsidRPr="00ED36D2">
              <w:t>resin and glass reinforcements</w:t>
            </w:r>
          </w:p>
          <w:p w:rsidR="00000000" w:rsidP="00ED36D2">
            <w:pPr>
              <w:pStyle w:val="BodyText"/>
              <w:rPr>
                <w:lang w:val="en-NZ"/>
              </w:rPr>
            </w:pPr>
          </w:p>
        </w:tc>
      </w:tr>
      <w:tr w:rsidTr="00ED36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 xml:space="preserve">Auxiliary systems include one (1) or more of the following: 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ListBullet"/>
            </w:pPr>
            <w:r w:rsidRPr="00ED36D2">
              <w:t>bilge</w:t>
            </w:r>
          </w:p>
          <w:p w:rsidR="00000000" w:rsidRPr="00ED36D2" w:rsidP="00ED36D2">
            <w:pPr>
              <w:pStyle w:val="ListBullet"/>
            </w:pPr>
            <w:r w:rsidRPr="00ED36D2">
              <w:t>freshwater</w:t>
            </w:r>
          </w:p>
          <w:p w:rsidR="00000000" w:rsidRPr="00ED36D2" w:rsidP="00ED36D2">
            <w:pPr>
              <w:pStyle w:val="ListBullet"/>
            </w:pPr>
            <w:r w:rsidRPr="00ED36D2">
              <w:t xml:space="preserve">fire (water) </w:t>
            </w:r>
          </w:p>
          <w:p w:rsidR="00000000" w:rsidRPr="00ED36D2" w:rsidP="00ED36D2">
            <w:pPr>
              <w:pStyle w:val="ListBullet"/>
            </w:pPr>
            <w:r w:rsidRPr="00ED36D2">
              <w:t xml:space="preserve">sanitary plumbing systems </w:t>
            </w:r>
          </w:p>
          <w:p w:rsidR="00000000" w:rsidRPr="00ED36D2" w:rsidP="00ED36D2">
            <w:pPr>
              <w:pStyle w:val="ListBullet"/>
            </w:pPr>
            <w:r w:rsidRPr="00ED36D2">
              <w:t>lifting systems, including davits, crane and winch units</w:t>
            </w:r>
          </w:p>
          <w:p w:rsidR="00000000" w:rsidP="00ED36D2">
            <w:pPr>
              <w:pStyle w:val="BodyText"/>
              <w:rPr>
                <w:lang w:val="en-NZ"/>
              </w:rPr>
            </w:pPr>
          </w:p>
        </w:tc>
      </w:tr>
      <w:tr w:rsidTr="00ED36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6D2">
            <w:pPr>
              <w:pStyle w:val="BodyText"/>
              <w:rPr>
                <w:lang w:val="en-NZ"/>
              </w:rPr>
            </w:pPr>
            <w:r w:rsidRPr="00ED36D2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6D2" w:rsidP="00ED36D2">
            <w:pPr>
              <w:pStyle w:val="ListBullet"/>
            </w:pPr>
            <w:r w:rsidRPr="00ED36D2">
              <w:t>mechanical</w:t>
            </w:r>
          </w:p>
          <w:p w:rsidR="00000000" w:rsidRPr="00ED36D2" w:rsidP="00ED36D2">
            <w:pPr>
              <w:pStyle w:val="ListBullet"/>
            </w:pPr>
            <w:r w:rsidRPr="00ED36D2">
              <w:t>pneumat</w:t>
            </w:r>
            <w:r w:rsidRPr="00ED36D2">
              <w:t>ic/electro-pneumatic</w:t>
            </w:r>
          </w:p>
          <w:p w:rsidR="00000000" w:rsidRPr="00ED36D2" w:rsidP="00ED36D2">
            <w:pPr>
              <w:pStyle w:val="ListBullet"/>
            </w:pPr>
            <w:r w:rsidRPr="00ED36D2">
              <w:t xml:space="preserve">electronic (analog/digital) </w:t>
            </w:r>
          </w:p>
          <w:p w:rsidR="00000000" w:rsidRPr="00ED36D2" w:rsidP="00ED36D2">
            <w:pPr>
              <w:pStyle w:val="ListBullet"/>
            </w:pPr>
            <w:r w:rsidRPr="00ED36D2">
              <w:t>associated instruments that measure variables, including:</w:t>
            </w:r>
          </w:p>
          <w:p w:rsidR="00000000" w:rsidRPr="00ED36D2" w:rsidP="00ED36D2">
            <w:pPr>
              <w:pStyle w:val="ListBullet2"/>
            </w:pPr>
            <w:r w:rsidRPr="00ED36D2">
              <w:t>temperature</w:t>
            </w:r>
          </w:p>
          <w:p w:rsidR="00000000" w:rsidRPr="00ED36D2" w:rsidP="00ED36D2">
            <w:pPr>
              <w:pStyle w:val="ListBullet2"/>
            </w:pPr>
            <w:r w:rsidRPr="00ED36D2">
              <w:t>pressure</w:t>
            </w:r>
          </w:p>
          <w:p w:rsidR="00000000" w:rsidRPr="00ED36D2" w:rsidP="00ED36D2">
            <w:pPr>
              <w:pStyle w:val="ListBullet2"/>
            </w:pPr>
            <w:r w:rsidRPr="00ED36D2">
              <w:t>flow rate</w:t>
            </w:r>
          </w:p>
          <w:p w:rsidR="00000000" w:rsidRPr="00ED36D2" w:rsidP="00ED36D2">
            <w:pPr>
              <w:pStyle w:val="ListBullet2"/>
            </w:pPr>
            <w:r w:rsidRPr="00ED36D2">
              <w:t>levels</w:t>
            </w:r>
          </w:p>
          <w:p w:rsidR="00000000" w:rsidRPr="00ED36D2" w:rsidP="00ED36D2">
            <w:pPr>
              <w:pStyle w:val="ListBullet2"/>
            </w:pPr>
            <w:r w:rsidRPr="00ED36D2">
              <w:t>lights</w:t>
            </w:r>
          </w:p>
          <w:p w:rsidR="00000000" w:rsidRPr="00ED36D2" w:rsidP="00ED36D2">
            <w:pPr>
              <w:pStyle w:val="ListBullet2"/>
            </w:pPr>
            <w:r w:rsidRPr="00ED36D2">
              <w:t xml:space="preserve">density </w:t>
            </w:r>
          </w:p>
          <w:p w:rsidR="00000000" w:rsidRPr="00ED36D2" w:rsidP="00ED36D2">
            <w:pPr>
              <w:pStyle w:val="ListBullet2"/>
            </w:pPr>
            <w:r w:rsidRPr="00ED36D2">
              <w:t>any other operational variable</w:t>
            </w:r>
          </w:p>
          <w:p w:rsidR="00000000" w:rsidRPr="00ED36D2" w:rsidP="00ED36D2">
            <w:pPr>
              <w:pStyle w:val="BodyText"/>
            </w:pPr>
          </w:p>
        </w:tc>
      </w:tr>
    </w:tbl>
    <w:p w:rsidR="00000000" w:rsidRPr="00ED36D2" w:rsidP="00ED36D2">
      <w:pPr>
        <w:pStyle w:val="BodyText"/>
      </w:pPr>
    </w:p>
    <w:p w:rsidR="00000000" w:rsidRPr="00ED36D2" w:rsidP="00ED36D2">
      <w:pPr>
        <w:pStyle w:val="AllowPageBreak"/>
      </w:pPr>
    </w:p>
    <w:p w:rsidR="00000000" w:rsidRPr="00ED36D2" w:rsidP="00ED36D2">
      <w:pPr>
        <w:pStyle w:val="Heading1"/>
      </w:pPr>
      <w:bookmarkStart w:id="8" w:name="O_953842"/>
      <w:bookmarkEnd w:id="8"/>
      <w:r w:rsidRPr="00ED36D2">
        <w:t>Unit Mapping Information</w:t>
      </w:r>
    </w:p>
    <w:p w:rsidR="00000000" w:rsidRPr="00ED36D2" w:rsidP="00125CE2">
      <w:pPr>
        <w:pStyle w:val="BodyText"/>
      </w:pPr>
      <w:r w:rsidRPr="00ED36D2">
        <w:t xml:space="preserve">Release 1. Supersedes and is equivalent to MEM25012B Install and test operations of marine auxiliary systems </w:t>
      </w:r>
    </w:p>
    <w:p w:rsidR="00000000" w:rsidRPr="00ED36D2" w:rsidP="00ED36D2">
      <w:pPr>
        <w:pStyle w:val="Heading1"/>
      </w:pPr>
      <w:bookmarkStart w:id="9" w:name="O_953835"/>
      <w:bookmarkEnd w:id="9"/>
      <w:r w:rsidRPr="00ED36D2">
        <w:t>Links</w:t>
      </w:r>
    </w:p>
    <w:p w:rsidR="00000000" w:rsidRPr="00ED36D2" w:rsidP="00125CE2">
      <w:pPr>
        <w:pStyle w:val="BodyText"/>
      </w:pPr>
      <w:r w:rsidRPr="00ED3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53B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36D2" w:rsidP="00ED36D2"/>
    <w:sectPr w:rsidSect="00ED3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D2" w:rsidRPr="00125CE2" w:rsidP="00125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E2" w:rsidP="00ED3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CE2" w:rsidP="00ED3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5CE2" w:rsidP="00ED3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6D2" w:rsidRPr="00125CE2" w:rsidP="00125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E2" w:rsidRPr="002D2AF8" w:rsidP="00ED3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MEM25012 Install and test operations of marine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5CE2" w:rsidP="00ED3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A0C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66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A20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6D2"/>
  </w:style>
  <w:style w:type="character" w:customStyle="1" w:styleId="Heading1Char">
    <w:name w:val="Heading 1 Char"/>
    <w:basedOn w:val="DefaultParagraphFont"/>
    <w:link w:val="Heading1"/>
    <w:rsid w:val="00ED3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6D2"/>
    <w:rPr>
      <w:b/>
      <w:spacing w:val="0"/>
    </w:rPr>
  </w:style>
  <w:style w:type="paragraph" w:styleId="ListBullet2">
    <w:name w:val="List Bullet 2"/>
    <w:basedOn w:val="List2"/>
    <w:rsid w:val="00ED36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6D2"/>
    <w:rPr>
      <w:i/>
    </w:rPr>
  </w:style>
  <w:style w:type="paragraph" w:styleId="Caption">
    <w:name w:val="caption"/>
    <w:basedOn w:val="BodyText"/>
    <w:next w:val="Normal"/>
    <w:qFormat/>
    <w:rsid w:val="00ED3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6D2"/>
  </w:style>
  <w:style w:type="paragraph" w:styleId="TableofFigures">
    <w:name w:val="table of figures"/>
    <w:basedOn w:val="Normal"/>
    <w:next w:val="Normal"/>
    <w:semiHidden/>
    <w:rsid w:val="00ED3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6D2"/>
    <w:rPr>
      <w:rFonts w:ascii="Wingdings" w:hAnsi="Wingdings"/>
    </w:rPr>
  </w:style>
  <w:style w:type="paragraph" w:customStyle="1" w:styleId="TableHeading">
    <w:name w:val="Table Heading"/>
    <w:basedOn w:val="HeadingBase"/>
    <w:rsid w:val="00ED3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6D2"/>
    <w:rPr>
      <w:color w:val="0033CC"/>
      <w:u w:val="none"/>
    </w:rPr>
  </w:style>
  <w:style w:type="paragraph" w:customStyle="1" w:styleId="BodyTextRight">
    <w:name w:val="Body Text Right"/>
    <w:basedOn w:val="BodyText"/>
    <w:rsid w:val="00ED3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6D2"/>
    <w:rPr>
      <w:sz w:val="32"/>
    </w:rPr>
  </w:style>
  <w:style w:type="paragraph" w:customStyle="1" w:styleId="HeadingProcedure">
    <w:name w:val="Heading Procedure"/>
    <w:basedOn w:val="HeadingBase"/>
    <w:next w:val="Normal"/>
    <w:rsid w:val="00ED3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6D2"/>
    <w:pPr>
      <w:spacing w:before="60" w:after="60"/>
    </w:pPr>
  </w:style>
  <w:style w:type="paragraph" w:styleId="ListContinue">
    <w:name w:val="List Continue"/>
    <w:basedOn w:val="List"/>
    <w:rsid w:val="00ED36D2"/>
    <w:pPr>
      <w:ind w:firstLine="0"/>
    </w:pPr>
  </w:style>
  <w:style w:type="paragraph" w:customStyle="1" w:styleId="ListNote">
    <w:name w:val="List Note"/>
    <w:basedOn w:val="List"/>
    <w:rsid w:val="00ED3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6D2"/>
    <w:rPr>
      <w:rFonts w:ascii="Courier New" w:hAnsi="Courier New"/>
    </w:rPr>
  </w:style>
  <w:style w:type="paragraph" w:customStyle="1" w:styleId="NoteBullet">
    <w:name w:val="Note Bullet"/>
    <w:basedOn w:val="Note"/>
    <w:rsid w:val="00ED3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6D2"/>
    <w:rPr>
      <w:b/>
      <w:smallCaps/>
    </w:rPr>
  </w:style>
  <w:style w:type="paragraph" w:customStyle="1" w:styleId="TableListNumber">
    <w:name w:val="Table List Number"/>
    <w:basedOn w:val="ListNumber"/>
    <w:rsid w:val="00ED3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6D2"/>
    <w:pPr>
      <w:numPr>
        <w:numId w:val="9"/>
      </w:numPr>
    </w:pPr>
  </w:style>
  <w:style w:type="paragraph" w:customStyle="1" w:styleId="ListAlpha2">
    <w:name w:val="List Alpha 2"/>
    <w:basedOn w:val="List2"/>
    <w:rsid w:val="00ED36D2"/>
    <w:pPr>
      <w:numPr>
        <w:numId w:val="8"/>
      </w:numPr>
    </w:pPr>
  </w:style>
  <w:style w:type="paragraph" w:styleId="List2">
    <w:name w:val="List 2"/>
    <w:basedOn w:val="BodyText"/>
    <w:rsid w:val="00ED3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6D2"/>
    <w:pPr>
      <w:numPr>
        <w:numId w:val="4"/>
      </w:numPr>
    </w:pPr>
  </w:style>
  <w:style w:type="paragraph" w:styleId="ListContinue2">
    <w:name w:val="List Continue 2"/>
    <w:basedOn w:val="List2"/>
    <w:rsid w:val="00ED36D2"/>
    <w:pPr>
      <w:ind w:firstLine="0"/>
    </w:pPr>
  </w:style>
  <w:style w:type="paragraph" w:styleId="ListContinue3">
    <w:name w:val="List Continue 3"/>
    <w:basedOn w:val="List3"/>
    <w:rsid w:val="00ED36D2"/>
    <w:pPr>
      <w:ind w:left="1021" w:firstLine="0"/>
    </w:pPr>
  </w:style>
  <w:style w:type="paragraph" w:styleId="ListContinue4">
    <w:name w:val="List Continue 4"/>
    <w:basedOn w:val="List4"/>
    <w:rsid w:val="00ED36D2"/>
    <w:pPr>
      <w:ind w:firstLine="0"/>
    </w:pPr>
  </w:style>
  <w:style w:type="paragraph" w:styleId="ListContinue5">
    <w:name w:val="List Continue 5"/>
    <w:basedOn w:val="List5"/>
    <w:rsid w:val="00ED36D2"/>
    <w:pPr>
      <w:ind w:firstLine="0"/>
    </w:pPr>
  </w:style>
  <w:style w:type="paragraph" w:styleId="ListNumber3">
    <w:name w:val="List Number 3"/>
    <w:basedOn w:val="List3"/>
    <w:rsid w:val="00ED36D2"/>
    <w:pPr>
      <w:numPr>
        <w:numId w:val="5"/>
      </w:numPr>
    </w:pPr>
  </w:style>
  <w:style w:type="paragraph" w:styleId="ListNumber4">
    <w:name w:val="List Number 4"/>
    <w:basedOn w:val="List4"/>
    <w:rsid w:val="00ED36D2"/>
    <w:pPr>
      <w:numPr>
        <w:numId w:val="6"/>
      </w:numPr>
    </w:pPr>
  </w:style>
  <w:style w:type="paragraph" w:styleId="ListNumber5">
    <w:name w:val="List Number 5"/>
    <w:basedOn w:val="List5"/>
    <w:rsid w:val="00ED36D2"/>
    <w:pPr>
      <w:numPr>
        <w:numId w:val="7"/>
      </w:numPr>
    </w:pPr>
  </w:style>
  <w:style w:type="paragraph" w:styleId="BlockText">
    <w:name w:val="Block Text"/>
    <w:basedOn w:val="Normal"/>
    <w:rsid w:val="00ED3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6D2"/>
    <w:rPr>
      <w:sz w:val="16"/>
      <w:vertAlign w:val="superscript"/>
    </w:rPr>
  </w:style>
  <w:style w:type="character" w:customStyle="1" w:styleId="Symbols">
    <w:name w:val="Symbols"/>
    <w:basedOn w:val="DefaultParagraphFont"/>
    <w:rsid w:val="00ED36D2"/>
    <w:rPr>
      <w:rFonts w:ascii="Symbol" w:hAnsi="Symbol"/>
    </w:rPr>
  </w:style>
  <w:style w:type="character" w:customStyle="1" w:styleId="MenuOptions">
    <w:name w:val="Menu Options"/>
    <w:basedOn w:val="DefaultParagraphFont"/>
    <w:rsid w:val="00ED3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6D2"/>
    <w:rPr>
      <w:b/>
    </w:rPr>
  </w:style>
  <w:style w:type="character" w:customStyle="1" w:styleId="Underlined">
    <w:name w:val="Underlined"/>
    <w:basedOn w:val="DefaultParagraphFont"/>
    <w:rsid w:val="00ED36D2"/>
    <w:rPr>
      <w:u w:val="single"/>
    </w:rPr>
  </w:style>
  <w:style w:type="paragraph" w:customStyle="1" w:styleId="TableBodyTextRight">
    <w:name w:val="Table Body Text Right"/>
    <w:basedOn w:val="TableBodyText"/>
    <w:rsid w:val="00ED3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6D2"/>
    <w:rPr>
      <w:sz w:val="18"/>
    </w:rPr>
  </w:style>
  <w:style w:type="paragraph" w:customStyle="1" w:styleId="BodySmallRight">
    <w:name w:val="Body Small Right"/>
    <w:basedOn w:val="BodyTextRight"/>
    <w:rsid w:val="00ED36D2"/>
    <w:rPr>
      <w:sz w:val="18"/>
      <w:szCs w:val="18"/>
    </w:rPr>
  </w:style>
  <w:style w:type="paragraph" w:customStyle="1" w:styleId="MarginEdition">
    <w:name w:val="Margin Edition"/>
    <w:basedOn w:val="MarginNote"/>
    <w:rsid w:val="00ED3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6D2"/>
    <w:rPr>
      <w:sz w:val="2"/>
      <w:szCs w:val="2"/>
    </w:rPr>
  </w:style>
  <w:style w:type="character" w:customStyle="1" w:styleId="Small">
    <w:name w:val="Small"/>
    <w:basedOn w:val="DefaultParagraphFont"/>
    <w:rsid w:val="00ED36D2"/>
    <w:rPr>
      <w:sz w:val="16"/>
    </w:rPr>
  </w:style>
  <w:style w:type="paragraph" w:customStyle="1" w:styleId="WideTable">
    <w:name w:val="Wide Table"/>
    <w:basedOn w:val="Normal"/>
    <w:rsid w:val="00ED3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6D2"/>
  </w:style>
  <w:style w:type="paragraph" w:styleId="Quote">
    <w:name w:val="Quote"/>
    <w:basedOn w:val="Heading1"/>
    <w:link w:val="QuoteChar"/>
    <w:qFormat/>
    <w:rsid w:val="00ED3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6D2"/>
    <w:pPr>
      <w:pageBreakBefore/>
    </w:pPr>
  </w:style>
  <w:style w:type="paragraph" w:customStyle="1" w:styleId="Border">
    <w:name w:val="Border"/>
    <w:basedOn w:val="Normal"/>
    <w:qFormat/>
    <w:rsid w:val="00ED3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6D2"/>
    <w:rPr>
      <w:u w:val="single"/>
    </w:rPr>
  </w:style>
  <w:style w:type="character" w:customStyle="1" w:styleId="BoldandItalics">
    <w:name w:val="Bold and Italics"/>
    <w:qFormat/>
    <w:rsid w:val="00ED36D2"/>
    <w:rPr>
      <w:b/>
      <w:i/>
      <w:u w:val="none"/>
    </w:rPr>
  </w:style>
  <w:style w:type="paragraph" w:styleId="BalloonText">
    <w:name w:val="Balloon Text"/>
    <w:basedOn w:val="Normal"/>
    <w:link w:val="BalloonTextChar"/>
    <w:rsid w:val="00ED3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6D2"/>
    <w:pPr>
      <w:spacing w:before="0" w:after="0"/>
    </w:pPr>
  </w:style>
  <w:style w:type="paragraph" w:customStyle="1" w:styleId="BodyTextBold">
    <w:name w:val="Body Text Bold"/>
    <w:basedOn w:val="BodyText"/>
    <w:qFormat/>
    <w:rsid w:val="00ED36D2"/>
    <w:rPr>
      <w:b/>
    </w:rPr>
  </w:style>
  <w:style w:type="character" w:styleId="Hyperlink">
    <w:name w:val="Hyperlink"/>
    <w:basedOn w:val="DefaultParagraphFont"/>
    <w:uiPriority w:val="99"/>
    <w:unhideWhenUsed/>
    <w:rsid w:val="00125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4102</Characters>
  <Application>Microsoft Office Word</Application>
  <DocSecurity>0</DocSecurity>
  <Lines>241</Lines>
  <Paragraphs>139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MEM25012 Install and test operations of marine auxiliary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