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0CB2" w:rsidP="00C00C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MEM25011 Install marine systems</w:t>
      </w:r>
      <w:r>
        <w:fldChar w:fldCharType="end"/>
      </w:r>
    </w:p>
    <w:p w:rsidR="00C00CB2" w:rsidP="00C00CB2">
      <w:pPr>
        <w:pStyle w:val="Version"/>
        <w:sectPr w:rsidSect="00CE7F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7F86" w:rsidP="00CE7F86">
      <w:pPr>
        <w:pStyle w:val="SuperHeading"/>
      </w:pPr>
      <w:r w:rsidRPr="00CE7F86">
        <w:t>MEM25011 Install marine systems</w:t>
      </w:r>
    </w:p>
    <w:p w:rsidR="00000000" w:rsidRPr="00CE7F86" w:rsidP="00CE7F86">
      <w:pPr>
        <w:pStyle w:val="Heading1"/>
      </w:pPr>
      <w:bookmarkStart w:id="1" w:name="O_953822"/>
      <w:bookmarkEnd w:id="1"/>
      <w:r w:rsidRPr="00CE7F86">
        <w:t>Modification History</w:t>
      </w:r>
    </w:p>
    <w:p w:rsidR="00000000" w:rsidRPr="00CE7F86" w:rsidP="00C00CB2">
      <w:pPr>
        <w:pStyle w:val="BodyText"/>
      </w:pPr>
      <w:r w:rsidRPr="00CE7F86">
        <w:t xml:space="preserve">Release 1. Supersedes and is equivalent to MEM25011B Install marine systems </w:t>
      </w:r>
    </w:p>
    <w:p w:rsidR="00000000" w:rsidRPr="00CE7F86" w:rsidP="00CE7F86">
      <w:pPr>
        <w:pStyle w:val="Heading1"/>
      </w:pPr>
      <w:bookmarkStart w:id="2" w:name="O_953830"/>
      <w:bookmarkEnd w:id="2"/>
      <w:r w:rsidRPr="00CE7F86">
        <w:t>Application</w:t>
      </w:r>
    </w:p>
    <w:p w:rsidR="00000000" w:rsidRPr="00CE7F86" w:rsidP="00C00CB2">
      <w:pPr>
        <w:pStyle w:val="BodyText"/>
      </w:pPr>
      <w:r w:rsidRPr="00CE7F86">
        <w:t>This unit of competency defines the skills and knowledge required to install and test engine/plant and ancillary equipment releva</w:t>
      </w:r>
      <w:r w:rsidRPr="00CE7F86">
        <w:t>nt to propulsion, stability, steering and fuel systems for mechanically powered marine vessels and application can apply to drive systems, including inboard/outboard, water jet and side thrusting units (excluding outboard motor installation).</w:t>
      </w:r>
    </w:p>
    <w:p w:rsidR="00000000" w:rsidRPr="00CE7F86" w:rsidP="00C00CB2">
      <w:pPr>
        <w:pStyle w:val="BodyText"/>
      </w:pPr>
      <w:r w:rsidRPr="00CE7F86">
        <w:t>Site locatio</w:t>
      </w:r>
      <w:r w:rsidRPr="00CE7F86">
        <w:t>ns can include new or existing external and internal locations for foundations, footings, beds and frameworks completed prior to installation and commissioning and tasks can be undertaken in a workshop/site, moored or in a sea-trial situation.</w:t>
      </w:r>
    </w:p>
    <w:p w:rsidR="00000000" w:rsidRPr="00CE7F86" w:rsidP="00C00CB2">
      <w:pPr>
        <w:pStyle w:val="BodyText"/>
      </w:pPr>
      <w:r w:rsidRPr="00CE7F86">
        <w:t>Where techn</w:t>
      </w:r>
      <w:r w:rsidRPr="00CE7F86">
        <w:t>ical drawings are required to be interpreted unit MEM09002 Interpret technical drawing should also be selected.</w:t>
      </w:r>
    </w:p>
    <w:p w:rsidR="00000000" w:rsidRPr="00CE7F86" w:rsidP="00C00CB2">
      <w:pPr>
        <w:pStyle w:val="BodyText"/>
      </w:pPr>
      <w:r w:rsidRPr="00CE7F86">
        <w:t>Where load shifting equipment is required to be used unit MEM11010 Operate mobile load shifting equipment should also be selected.</w:t>
      </w:r>
    </w:p>
    <w:p w:rsidR="00000000" w:rsidRPr="00CE7F86" w:rsidP="00C00CB2">
      <w:pPr>
        <w:pStyle w:val="BodyText"/>
      </w:pPr>
      <w:r w:rsidRPr="00CE7F86">
        <w:t>Where movea</w:t>
      </w:r>
      <w:r w:rsidRPr="00CE7F86">
        <w:t>ble and fixed load shifting equipment is required to be used unit MEM11022 Operate fixed/moveable load shifting equipment should also be selected.</w:t>
      </w:r>
    </w:p>
    <w:p w:rsidR="00000000" w:rsidRPr="00CE7F86" w:rsidP="00C00CB2">
      <w:pPr>
        <w:pStyle w:val="BodyText"/>
      </w:pPr>
      <w:r w:rsidRPr="00CE7F86">
        <w:t>Where installation only is required unit MEM25015 Assemble and install equipment and accessories/ancillaries</w:t>
      </w:r>
      <w:r w:rsidRPr="00CE7F86">
        <w:t xml:space="preserve"> should also be selected.</w:t>
      </w:r>
    </w:p>
    <w:p w:rsidR="00000000" w:rsidRPr="00CE7F86" w:rsidP="00C00CB2">
      <w:pPr>
        <w:pStyle w:val="BodyText"/>
      </w:pPr>
      <w:r w:rsidRPr="00CE7F86">
        <w:t>No licensing, legislative or certification requirements apply to this unit at the time of publication.</w:t>
      </w:r>
    </w:p>
    <w:p w:rsidR="00000000" w:rsidRPr="00CE7F86" w:rsidP="00CE7F86">
      <w:pPr>
        <w:pStyle w:val="BodyText"/>
      </w:pPr>
      <w:r w:rsidRPr="00CE7F86">
        <w:rPr>
          <w:rStyle w:val="SpecialBold"/>
        </w:rPr>
        <w:t>Band</w:t>
      </w:r>
      <w:r w:rsidRPr="00CE7F86">
        <w:t>:</w:t>
      </w:r>
      <w:r w:rsidRPr="00CE7F86">
        <w:tab/>
      </w:r>
      <w:r w:rsidRPr="00CE7F86">
        <w:rPr>
          <w:rStyle w:val="SpecialBold"/>
        </w:rPr>
        <w:t>A</w:t>
      </w:r>
    </w:p>
    <w:p w:rsidR="00000000" w:rsidRPr="00CE7F86" w:rsidP="00CE7F86">
      <w:pPr>
        <w:pStyle w:val="BodyText"/>
      </w:pPr>
      <w:r w:rsidRPr="00CE7F86">
        <w:rPr>
          <w:rStyle w:val="SpecialBold"/>
        </w:rPr>
        <w:t>Unit Weight</w:t>
      </w:r>
      <w:r w:rsidRPr="00CE7F86">
        <w:t>:</w:t>
      </w:r>
      <w:r w:rsidRPr="00CE7F86">
        <w:tab/>
      </w:r>
      <w:r w:rsidRPr="00CE7F86">
        <w:rPr>
          <w:rStyle w:val="SpecialBold"/>
        </w:rPr>
        <w:t>8</w:t>
      </w:r>
    </w:p>
    <w:p w:rsidR="00000000" w:rsidRPr="00CE7F86" w:rsidP="00CE7F86">
      <w:pPr>
        <w:pStyle w:val="AllowPageBreak"/>
      </w:pPr>
    </w:p>
    <w:p w:rsidR="00000000" w:rsidRPr="00CE7F86" w:rsidP="00CE7F86">
      <w:pPr>
        <w:pStyle w:val="Heading1"/>
      </w:pPr>
      <w:bookmarkStart w:id="3" w:name="O_953829"/>
      <w:bookmarkEnd w:id="3"/>
      <w:r w:rsidRPr="00CE7F8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CE7F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Undertake manual handling</w:t>
            </w:r>
          </w:p>
        </w:tc>
      </w:tr>
      <w:tr w:rsidTr="00CE7F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Work safely and effectively in manufacturing and engineering</w:t>
            </w:r>
          </w:p>
        </w:tc>
      </w:tr>
      <w:tr w:rsidTr="00CE7F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Organise and communicate information</w:t>
            </w:r>
          </w:p>
        </w:tc>
      </w:tr>
      <w:tr w:rsidTr="00CE7F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Use hand tools</w:t>
            </w:r>
          </w:p>
        </w:tc>
      </w:tr>
      <w:tr w:rsidTr="00CE7F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F86" w:rsidP="00CE7F86">
            <w:pPr>
              <w:pStyle w:val="BodyText"/>
            </w:pPr>
            <w:r w:rsidRPr="00CE7F86">
              <w:t>Use power tools/hand held operations</w:t>
            </w:r>
          </w:p>
        </w:tc>
      </w:tr>
    </w:tbl>
    <w:p w:rsidR="00000000" w:rsidRPr="00CE7F86" w:rsidP="00CE7F86">
      <w:pPr>
        <w:pStyle w:val="BodyText"/>
      </w:pPr>
    </w:p>
    <w:p w:rsidR="00000000" w:rsidRPr="00CE7F86" w:rsidP="00CE7F86">
      <w:pPr>
        <w:pStyle w:val="AllowPageBreak"/>
      </w:pPr>
    </w:p>
    <w:p w:rsidR="00000000" w:rsidRPr="00CE7F86" w:rsidP="00CE7F86">
      <w:pPr>
        <w:pStyle w:val="Heading1"/>
      </w:pPr>
      <w:bookmarkStart w:id="4" w:name="O_953828"/>
      <w:bookmarkEnd w:id="4"/>
      <w:r w:rsidRPr="00CE7F86">
        <w:t>Competency Field</w:t>
      </w:r>
    </w:p>
    <w:p w:rsidR="00000000" w:rsidRPr="00CE7F86" w:rsidP="00C00CB2">
      <w:pPr>
        <w:pStyle w:val="BodyText"/>
      </w:pPr>
      <w:r w:rsidRPr="00CE7F86">
        <w:t>Marine craft construction</w:t>
      </w:r>
    </w:p>
    <w:p w:rsidR="00000000" w:rsidRPr="00CE7F86" w:rsidP="00CE7F86">
      <w:pPr>
        <w:pStyle w:val="Heading1"/>
      </w:pPr>
      <w:bookmarkStart w:id="5" w:name="O_953826"/>
      <w:bookmarkEnd w:id="5"/>
      <w:r w:rsidRPr="00CE7F8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CE7F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Performance criteria describe the performance needed to demonstrate achievement of the element.</w:t>
            </w:r>
          </w:p>
        </w:tc>
      </w:tr>
      <w:tr w:rsidTr="00CE7F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F86" w:rsidP="00CE7F86">
            <w:pPr>
              <w:pStyle w:val="BodyText"/>
            </w:pPr>
            <w:r w:rsidRPr="00CE7F86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Follow standard operating procedures (SOPs)</w:t>
            </w:r>
          </w:p>
        </w:tc>
      </w:tr>
      <w:tr w:rsidTr="00CE7F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Comply with work health and safety (WHS) requirements at all times</w:t>
            </w:r>
          </w:p>
        </w:tc>
      </w:tr>
      <w:tr w:rsidTr="00CE7F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Use appropriate personal protective equipment (PPE) in accordance with SOPs</w:t>
            </w:r>
          </w:p>
        </w:tc>
      </w:tr>
      <w:tr w:rsidTr="00CE7F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Identify job requirements from specifications, job sheets or work instructions</w:t>
            </w:r>
          </w:p>
        </w:tc>
      </w:tr>
      <w:tr w:rsidTr="00CE7F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</w:p>
        </w:tc>
      </w:tr>
      <w:tr w:rsidTr="00CE7F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F86" w:rsidP="00CE7F86">
            <w:pPr>
              <w:pStyle w:val="BodyText"/>
            </w:pPr>
            <w:r w:rsidRPr="00CE7F86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rPr>
                <w:rStyle w:val="SpecialBold"/>
              </w:rPr>
              <w:t>Prepare installation site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Check site features using appropriate measuring equipment</w:t>
            </w:r>
          </w:p>
        </w:tc>
      </w:tr>
      <w:tr w:rsidTr="00CE7F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Report non-compliance with specification to appropriate authority</w:t>
            </w:r>
          </w:p>
        </w:tc>
      </w:tr>
      <w:tr w:rsidTr="00CE7F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Undertake modifications with approval of appropriate authority</w:t>
            </w:r>
          </w:p>
        </w:tc>
      </w:tr>
      <w:tr w:rsidTr="00CE7F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Prepare installation site and components</w:t>
            </w:r>
          </w:p>
        </w:tc>
      </w:tr>
      <w:tr w:rsidTr="00CE7F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</w:p>
        </w:tc>
      </w:tr>
      <w:tr w:rsidTr="00CE7F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F86" w:rsidP="00CE7F86">
            <w:pPr>
              <w:pStyle w:val="BodyText"/>
            </w:pPr>
            <w:r w:rsidRPr="00CE7F86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rPr>
                <w:rStyle w:val="SpecialBold"/>
              </w:rPr>
              <w:t>Install marine engines/plant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Carry out all work in accordance with site procedures and relevant Australian Standards</w:t>
            </w:r>
          </w:p>
        </w:tc>
      </w:tr>
      <w:tr w:rsidTr="00CE7F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Prepare engine/plant components and ancillary equipment for correct sequential installation</w:t>
            </w:r>
          </w:p>
        </w:tc>
      </w:tr>
      <w:tr w:rsidTr="00CE7F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Install engine/plant in accordance with manufacturer</w:t>
            </w:r>
            <w:r>
              <w:t>’</w:t>
            </w:r>
            <w:r w:rsidRPr="00CE7F86">
              <w:t>s site specifications</w:t>
            </w:r>
          </w:p>
        </w:tc>
      </w:tr>
      <w:tr w:rsidTr="00CE7F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Check engine/plant for conformance to specifications, and undertake modific</w:t>
            </w:r>
            <w:r w:rsidRPr="00CE7F86">
              <w:t>ations/adjustments according to procedures</w:t>
            </w:r>
          </w:p>
        </w:tc>
      </w:tr>
      <w:tr w:rsidTr="00CE7F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Install engine/plant in accordance with specifications</w:t>
            </w:r>
          </w:p>
        </w:tc>
      </w:tr>
      <w:tr w:rsidTr="00CE7F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Finalise site conditions in accordance with WHS requirements and SOPs</w:t>
            </w:r>
          </w:p>
        </w:tc>
      </w:tr>
      <w:tr w:rsidTr="00CE7F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3.7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Complete documentation to required specifications</w:t>
            </w:r>
          </w:p>
        </w:tc>
      </w:tr>
      <w:tr w:rsidTr="00CE7F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</w:p>
        </w:tc>
      </w:tr>
      <w:tr w:rsidTr="00CE7F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F86" w:rsidP="00CE7F86">
            <w:pPr>
              <w:pStyle w:val="BodyText"/>
            </w:pPr>
            <w:r w:rsidRPr="00CE7F86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rPr>
                <w:rStyle w:val="SpecialBold"/>
              </w:rPr>
              <w:t>Test engine/plant systems and ancillary 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Identify work/test requirements for engine/plant and ancillary equipment</w:t>
            </w:r>
          </w:p>
        </w:tc>
      </w:tr>
      <w:tr w:rsidTr="00CE7F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Test engine/plant and ancillary equipment for correct operation using instruments appropriate to the testing task</w:t>
            </w:r>
          </w:p>
        </w:tc>
      </w:tr>
      <w:tr w:rsidTr="00CE7F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 xml:space="preserve">Assess and verify operational function </w:t>
            </w:r>
          </w:p>
        </w:tc>
      </w:tr>
      <w:tr w:rsidTr="00CE7F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</w:p>
        </w:tc>
      </w:tr>
      <w:tr w:rsidTr="00CE7F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F86" w:rsidP="00CE7F86">
            <w:pPr>
              <w:pStyle w:val="BodyText"/>
            </w:pPr>
            <w:r w:rsidRPr="00CE7F86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rPr>
                <w:rStyle w:val="SpecialBold"/>
              </w:rPr>
              <w:t>Collect data and localise fault conditions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Use drawings/diagrams and operational specifications to identify and localise fault conditions</w:t>
            </w:r>
          </w:p>
        </w:tc>
      </w:tr>
      <w:tr w:rsidTr="00CE7F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 xml:space="preserve">Examine built-in fault indicators and error codes, and interpret and record results </w:t>
            </w:r>
          </w:p>
        </w:tc>
      </w:tr>
      <w:tr w:rsidTr="00CE7F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Localise fault condition to major component level</w:t>
            </w:r>
          </w:p>
        </w:tc>
      </w:tr>
      <w:tr w:rsidTr="00CE7F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</w:p>
        </w:tc>
      </w:tr>
      <w:tr w:rsidTr="00CE7F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F86" w:rsidP="00CE7F86">
            <w:pPr>
              <w:pStyle w:val="BodyText"/>
            </w:pPr>
            <w:r w:rsidRPr="00CE7F86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rPr>
                <w:rStyle w:val="SpecialBold"/>
              </w:rPr>
              <w:t>Analyse and report test results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Analyse/verify test results against operational specifications and confirm localised faults</w:t>
            </w:r>
          </w:p>
        </w:tc>
      </w:tr>
      <w:tr w:rsidTr="00CE7F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Report potential and actual faults according to SOPs</w:t>
            </w:r>
          </w:p>
        </w:tc>
      </w:tr>
      <w:tr w:rsidTr="00CE7F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F86" w:rsidP="00CE7F86">
            <w:pPr>
              <w:pStyle w:val="BodyText"/>
            </w:pPr>
            <w:r w:rsidRPr="00CE7F86">
              <w:t>Plan corrective action and record/document action plan</w:t>
            </w:r>
          </w:p>
        </w:tc>
      </w:tr>
    </w:tbl>
    <w:p w:rsidR="00000000" w:rsidRPr="00CE7F86" w:rsidP="00CE7F86">
      <w:pPr>
        <w:pStyle w:val="BodyText"/>
      </w:pPr>
    </w:p>
    <w:p w:rsidR="00000000" w:rsidRPr="00CE7F86" w:rsidP="00CE7F86">
      <w:pPr>
        <w:pStyle w:val="AllowPageBreak"/>
      </w:pPr>
    </w:p>
    <w:p w:rsidR="00000000" w:rsidRPr="00CE7F86" w:rsidP="00CE7F86">
      <w:pPr>
        <w:pStyle w:val="Heading1"/>
      </w:pPr>
      <w:bookmarkStart w:id="6" w:name="O_953825"/>
      <w:bookmarkEnd w:id="6"/>
      <w:r w:rsidRPr="00CE7F86">
        <w:t>Foundation Skills</w:t>
      </w:r>
    </w:p>
    <w:p w:rsidR="00000000" w:rsidRPr="00CE7F86" w:rsidP="00C00CB2">
      <w:pPr>
        <w:pStyle w:val="BodyText"/>
      </w:pPr>
      <w:r w:rsidRPr="00CE7F86">
        <w:t xml:space="preserve">This section describes those required skills (reading, writing, oral communication and numeracy) that are essential to workplace performance in this unit of competency.  </w:t>
      </w:r>
    </w:p>
    <w:p w:rsidR="00000000" w:rsidRPr="00CE7F86" w:rsidP="00C00CB2">
      <w:pPr>
        <w:pStyle w:val="BodyText"/>
      </w:pPr>
      <w:r w:rsidRPr="00CE7F86">
        <w:t xml:space="preserve">Foundation skills essential to performance are explicit in the performance criteria </w:t>
      </w:r>
      <w:r w:rsidRPr="00CE7F86">
        <w:t>of this unit of competency.</w:t>
      </w:r>
    </w:p>
    <w:p w:rsidR="00000000" w:rsidRPr="00CE7F86" w:rsidP="00CE7F86">
      <w:pPr>
        <w:pStyle w:val="Heading1"/>
      </w:pPr>
      <w:bookmarkStart w:id="7" w:name="O_953824"/>
      <w:bookmarkEnd w:id="7"/>
      <w:r w:rsidRPr="00CE7F86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7"/>
      </w:tblGrid>
      <w:tr w:rsidTr="00CE7F8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t>This field allows for different work environments and conditions that may affect performance. Essential operating conditions that may be present (depending on the work situation, needs of the</w:t>
            </w:r>
            <w:r w:rsidRPr="00CE7F86">
              <w:t xml:space="preserve"> candidate, accessibility of the item, and local industry and regional contexts) are included.</w:t>
            </w:r>
          </w:p>
        </w:tc>
      </w:tr>
      <w:tr w:rsidTr="00CE7F8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67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rPr>
                <w:rStyle w:val="SpecialBold"/>
              </w:rPr>
              <w:t>Marine systems include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F86" w:rsidP="00CE7F86">
            <w:pPr>
              <w:pStyle w:val="ListBullet"/>
            </w:pPr>
            <w:r w:rsidRPr="00CE7F86">
              <w:t>engines</w:t>
            </w:r>
          </w:p>
          <w:p w:rsidR="00000000" w:rsidRPr="00CE7F86" w:rsidP="00CE7F86">
            <w:pPr>
              <w:pStyle w:val="ListBullet"/>
            </w:pPr>
            <w:r w:rsidRPr="00CE7F86">
              <w:t>stabilisers</w:t>
            </w:r>
          </w:p>
          <w:p w:rsidR="00000000" w:rsidRPr="00CE7F86" w:rsidP="00CE7F86">
            <w:pPr>
              <w:pStyle w:val="ListBullet"/>
            </w:pPr>
            <w:r w:rsidRPr="00CE7F86">
              <w:t>steering systems</w:t>
            </w:r>
          </w:p>
          <w:p w:rsidR="00000000" w:rsidP="00CE7F86">
            <w:pPr>
              <w:pStyle w:val="ListBullet"/>
              <w:rPr>
                <w:lang w:val="en-NZ"/>
              </w:rPr>
            </w:pPr>
            <w:r w:rsidRPr="00CE7F86">
              <w:t>fuel systems</w:t>
            </w:r>
          </w:p>
        </w:tc>
      </w:tr>
      <w:tr w:rsidTr="00CE7F8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56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rPr>
                <w:rStyle w:val="SpecialBold"/>
              </w:rPr>
              <w:t>Stabilisers are fin and/or tab types and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F86" w:rsidP="00CE7F86">
            <w:pPr>
              <w:pStyle w:val="ListBullet"/>
            </w:pPr>
            <w:r w:rsidRPr="00CE7F86">
              <w:t>electric</w:t>
            </w:r>
          </w:p>
          <w:p w:rsidR="00000000" w:rsidRPr="00CE7F86" w:rsidP="00CE7F86">
            <w:pPr>
              <w:pStyle w:val="ListBullet"/>
            </w:pPr>
            <w:r w:rsidRPr="00CE7F86">
              <w:t>hydraulic</w:t>
            </w:r>
          </w:p>
          <w:p w:rsidR="00000000" w:rsidP="00CE7F86">
            <w:pPr>
              <w:pStyle w:val="ListBullet"/>
              <w:rPr>
                <w:lang w:val="en-NZ"/>
              </w:rPr>
            </w:pPr>
            <w:r w:rsidRPr="00CE7F86">
              <w:t>mechanical</w:t>
            </w:r>
          </w:p>
        </w:tc>
      </w:tr>
      <w:tr w:rsidTr="00CE7F8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0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rPr>
                <w:rStyle w:val="SpecialBold"/>
              </w:rPr>
              <w:t>Steering system units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F86" w:rsidP="00CE7F86">
            <w:pPr>
              <w:pStyle w:val="ListBullet"/>
            </w:pPr>
            <w:r w:rsidRPr="00CE7F86">
              <w:t>hydraulic</w:t>
            </w:r>
          </w:p>
          <w:p w:rsidR="00000000" w:rsidRPr="00CE7F86" w:rsidP="00CE7F86">
            <w:pPr>
              <w:pStyle w:val="ListBullet"/>
            </w:pPr>
            <w:r w:rsidRPr="00CE7F86">
              <w:t>cable</w:t>
            </w:r>
          </w:p>
          <w:p w:rsidR="00000000" w:rsidP="00CE7F86">
            <w:pPr>
              <w:pStyle w:val="ListBullet"/>
              <w:rPr>
                <w:lang w:val="en-NZ"/>
              </w:rPr>
            </w:pPr>
            <w:r w:rsidRPr="00CE7F86">
              <w:t>wire-operated</w:t>
            </w:r>
          </w:p>
        </w:tc>
      </w:tr>
      <w:tr w:rsidTr="00CE7F8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2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rPr>
                <w:rStyle w:val="SpecialBold"/>
              </w:rPr>
              <w:t>Fuel systems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F86" w:rsidP="00CE7F86">
            <w:pPr>
              <w:pStyle w:val="ListBullet"/>
            </w:pPr>
            <w:r w:rsidRPr="00CE7F86">
              <w:t>petrol</w:t>
            </w:r>
          </w:p>
          <w:p w:rsidR="00000000" w:rsidP="00CE7F86">
            <w:pPr>
              <w:pStyle w:val="ListBullet"/>
              <w:rPr>
                <w:lang w:val="en-NZ"/>
              </w:rPr>
            </w:pPr>
            <w:r w:rsidRPr="00CE7F86">
              <w:t>diesel supply operations</w:t>
            </w:r>
          </w:p>
        </w:tc>
      </w:tr>
      <w:tr w:rsidTr="00CE7F8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2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86">
            <w:pPr>
              <w:pStyle w:val="BodyText"/>
              <w:rPr>
                <w:lang w:val="en-NZ"/>
              </w:rPr>
            </w:pPr>
            <w:r w:rsidRPr="00CE7F86">
              <w:rPr>
                <w:rStyle w:val="SpecialBold"/>
              </w:rPr>
              <w:t>Instruments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F86" w:rsidP="00CE7F86">
            <w:pPr>
              <w:pStyle w:val="ListBullet"/>
            </w:pPr>
            <w:r w:rsidRPr="00CE7F86">
              <w:t>mechanical</w:t>
            </w:r>
          </w:p>
          <w:p w:rsidR="00000000" w:rsidRPr="00CE7F86" w:rsidP="00CE7F86">
            <w:pPr>
              <w:pStyle w:val="ListBullet"/>
            </w:pPr>
            <w:r w:rsidRPr="00CE7F86">
              <w:t>pneumatic/electro-pneumatic</w:t>
            </w:r>
          </w:p>
          <w:p w:rsidR="00000000" w:rsidRPr="00CE7F86" w:rsidP="00CE7F86">
            <w:pPr>
              <w:pStyle w:val="ListBullet"/>
            </w:pPr>
            <w:r w:rsidRPr="00CE7F86">
              <w:t xml:space="preserve">electronic (analog/digital) </w:t>
            </w:r>
          </w:p>
          <w:p w:rsidR="00000000" w:rsidRPr="00CE7F86" w:rsidP="00CE7F86">
            <w:pPr>
              <w:pStyle w:val="ListBullet"/>
            </w:pPr>
            <w:r w:rsidRPr="00CE7F86">
              <w:t>associated instruments that measure variables, including:</w:t>
            </w:r>
          </w:p>
          <w:p w:rsidR="00000000" w:rsidRPr="00CE7F86" w:rsidP="00CE7F86">
            <w:pPr>
              <w:pStyle w:val="ListBullet2"/>
            </w:pPr>
            <w:r w:rsidRPr="00CE7F86">
              <w:t>temperature</w:t>
            </w:r>
          </w:p>
          <w:p w:rsidR="00000000" w:rsidRPr="00CE7F86" w:rsidP="00CE7F86">
            <w:pPr>
              <w:pStyle w:val="ListBullet2"/>
            </w:pPr>
            <w:r w:rsidRPr="00CE7F86">
              <w:t>pressure</w:t>
            </w:r>
          </w:p>
          <w:p w:rsidR="00000000" w:rsidRPr="00CE7F86" w:rsidP="00CE7F86">
            <w:pPr>
              <w:pStyle w:val="ListBullet2"/>
            </w:pPr>
            <w:r w:rsidRPr="00CE7F86">
              <w:t>flow rate</w:t>
            </w:r>
          </w:p>
          <w:p w:rsidR="00000000" w:rsidRPr="00CE7F86" w:rsidP="00CE7F86">
            <w:pPr>
              <w:pStyle w:val="ListBullet2"/>
            </w:pPr>
            <w:r w:rsidRPr="00CE7F86">
              <w:t>levels</w:t>
            </w:r>
          </w:p>
          <w:p w:rsidR="00000000" w:rsidRPr="00CE7F86" w:rsidP="00CE7F86">
            <w:pPr>
              <w:pStyle w:val="ListBullet2"/>
            </w:pPr>
            <w:r w:rsidRPr="00CE7F86">
              <w:t>lights</w:t>
            </w:r>
          </w:p>
          <w:p w:rsidR="00000000" w:rsidRPr="00CE7F86" w:rsidP="00CE7F86">
            <w:pPr>
              <w:pStyle w:val="ListBullet2"/>
            </w:pPr>
            <w:r w:rsidRPr="00CE7F86">
              <w:t xml:space="preserve">density </w:t>
            </w:r>
          </w:p>
          <w:p w:rsidR="00000000" w:rsidRPr="00CE7F86" w:rsidP="00CE7F86">
            <w:pPr>
              <w:pStyle w:val="ListBullet2"/>
            </w:pPr>
            <w:r w:rsidRPr="00CE7F86">
              <w:t>any other operational variable</w:t>
            </w:r>
          </w:p>
        </w:tc>
      </w:tr>
    </w:tbl>
    <w:p w:rsidR="00000000" w:rsidRPr="00CE7F86" w:rsidP="00CE7F86">
      <w:pPr>
        <w:pStyle w:val="BodyText"/>
      </w:pPr>
    </w:p>
    <w:p w:rsidR="00000000" w:rsidRPr="00CE7F86" w:rsidP="00CE7F86">
      <w:pPr>
        <w:pStyle w:val="AllowPageBreak"/>
      </w:pPr>
    </w:p>
    <w:p w:rsidR="00000000" w:rsidRPr="00CE7F86" w:rsidP="00CE7F86">
      <w:pPr>
        <w:pStyle w:val="Heading1"/>
      </w:pPr>
      <w:bookmarkStart w:id="8" w:name="O_953823"/>
      <w:bookmarkEnd w:id="8"/>
      <w:r w:rsidRPr="00CE7F86">
        <w:t>Unit Mapping Information</w:t>
      </w:r>
    </w:p>
    <w:p w:rsidR="00000000" w:rsidRPr="00CE7F86" w:rsidP="00C00CB2">
      <w:pPr>
        <w:pStyle w:val="BodyText"/>
      </w:pPr>
      <w:r w:rsidRPr="00CE7F86">
        <w:t xml:space="preserve">Release 1. Supersedes and is equivalent to MEM25011B Install marine systems </w:t>
      </w:r>
    </w:p>
    <w:p w:rsidR="00000000" w:rsidRPr="00CE7F86" w:rsidP="00CE7F86">
      <w:pPr>
        <w:pStyle w:val="Heading1"/>
      </w:pPr>
      <w:bookmarkStart w:id="9" w:name="O_953816"/>
      <w:bookmarkEnd w:id="9"/>
      <w:r w:rsidRPr="00CE7F86">
        <w:t>Links</w:t>
      </w:r>
    </w:p>
    <w:p w:rsidR="00000000" w:rsidRPr="00CE7F86" w:rsidP="00C00CB2">
      <w:pPr>
        <w:pStyle w:val="BodyText"/>
      </w:pPr>
      <w:r w:rsidRPr="00CE7F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6040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E7F86" w:rsidP="00CE7F86"/>
    <w:sectPr w:rsidSect="00CE7F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F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F86" w:rsidRPr="00C00CB2" w:rsidP="00C00C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F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CB2" w:rsidP="00CE7F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0CB2" w:rsidP="00CE7F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00CB2" w:rsidP="00CE7F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F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C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7F86" w:rsidRPr="00C00CB2" w:rsidP="00C00C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F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CB2" w:rsidRPr="002D2AF8" w:rsidP="00CE7F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MEM25011 Install marine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00CB2" w:rsidP="00CE7F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50CE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904C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E240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F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7F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7F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7F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7F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7F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7F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7F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7F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7F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7F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7F86"/>
  </w:style>
  <w:style w:type="character" w:customStyle="1" w:styleId="Heading1Char">
    <w:name w:val="Heading 1 Char"/>
    <w:basedOn w:val="DefaultParagraphFont"/>
    <w:link w:val="Heading1"/>
    <w:rsid w:val="00CE7F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7F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7F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7F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7F86"/>
    <w:rPr>
      <w:b/>
      <w:spacing w:val="0"/>
    </w:rPr>
  </w:style>
  <w:style w:type="paragraph" w:styleId="ListBullet2">
    <w:name w:val="List Bullet 2"/>
    <w:basedOn w:val="List2"/>
    <w:rsid w:val="00CE7F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7F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7F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7F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7F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7F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7F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7F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7F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7F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7F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7F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7F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7F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7F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7F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7F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7F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7F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7F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7F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7F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7F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7F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7F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7F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7F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7F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7F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7F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7F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7F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7F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7F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7F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7F86"/>
    <w:rPr>
      <w:i/>
    </w:rPr>
  </w:style>
  <w:style w:type="paragraph" w:styleId="Caption">
    <w:name w:val="caption"/>
    <w:basedOn w:val="BodyText"/>
    <w:next w:val="Normal"/>
    <w:qFormat/>
    <w:rsid w:val="00CE7F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7F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7F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7F86"/>
  </w:style>
  <w:style w:type="paragraph" w:styleId="TableofFigures">
    <w:name w:val="table of figures"/>
    <w:basedOn w:val="Normal"/>
    <w:next w:val="Normal"/>
    <w:semiHidden/>
    <w:rsid w:val="00CE7F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7F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7F86"/>
    <w:rPr>
      <w:rFonts w:ascii="Wingdings" w:hAnsi="Wingdings"/>
    </w:rPr>
  </w:style>
  <w:style w:type="paragraph" w:customStyle="1" w:styleId="TableHeading">
    <w:name w:val="Table Heading"/>
    <w:basedOn w:val="HeadingBase"/>
    <w:rsid w:val="00CE7F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7F86"/>
    <w:rPr>
      <w:color w:val="0033CC"/>
      <w:u w:val="none"/>
    </w:rPr>
  </w:style>
  <w:style w:type="paragraph" w:customStyle="1" w:styleId="BodyTextRight">
    <w:name w:val="Body Text Right"/>
    <w:basedOn w:val="BodyText"/>
    <w:rsid w:val="00CE7F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7F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7F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7F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7F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7F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7F86"/>
    <w:rPr>
      <w:sz w:val="32"/>
    </w:rPr>
  </w:style>
  <w:style w:type="paragraph" w:customStyle="1" w:styleId="HeadingProcedure">
    <w:name w:val="Heading Procedure"/>
    <w:basedOn w:val="HeadingBase"/>
    <w:next w:val="Normal"/>
    <w:rsid w:val="00CE7F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7F86"/>
    <w:pPr>
      <w:spacing w:before="60" w:after="60"/>
    </w:pPr>
  </w:style>
  <w:style w:type="paragraph" w:styleId="ListContinue">
    <w:name w:val="List Continue"/>
    <w:basedOn w:val="List"/>
    <w:rsid w:val="00CE7F86"/>
    <w:pPr>
      <w:ind w:firstLine="0"/>
    </w:pPr>
  </w:style>
  <w:style w:type="paragraph" w:customStyle="1" w:styleId="ListNote">
    <w:name w:val="List Note"/>
    <w:basedOn w:val="List"/>
    <w:rsid w:val="00CE7F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7F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7F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7F86"/>
    <w:rPr>
      <w:rFonts w:ascii="Courier New" w:hAnsi="Courier New"/>
    </w:rPr>
  </w:style>
  <w:style w:type="paragraph" w:customStyle="1" w:styleId="NoteBullet">
    <w:name w:val="Note Bullet"/>
    <w:basedOn w:val="Note"/>
    <w:rsid w:val="00CE7F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7F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7F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7F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7F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7F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7F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7F86"/>
    <w:rPr>
      <w:b/>
      <w:smallCaps/>
    </w:rPr>
  </w:style>
  <w:style w:type="paragraph" w:customStyle="1" w:styleId="TableListNumber">
    <w:name w:val="Table List Number"/>
    <w:basedOn w:val="ListNumber"/>
    <w:rsid w:val="00CE7F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7F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7F86"/>
    <w:pPr>
      <w:numPr>
        <w:numId w:val="9"/>
      </w:numPr>
    </w:pPr>
  </w:style>
  <w:style w:type="paragraph" w:customStyle="1" w:styleId="ListAlpha2">
    <w:name w:val="List Alpha 2"/>
    <w:basedOn w:val="List2"/>
    <w:rsid w:val="00CE7F86"/>
    <w:pPr>
      <w:numPr>
        <w:numId w:val="8"/>
      </w:numPr>
    </w:pPr>
  </w:style>
  <w:style w:type="paragraph" w:styleId="List2">
    <w:name w:val="List 2"/>
    <w:basedOn w:val="BodyText"/>
    <w:rsid w:val="00CE7F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7F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7F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7F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7F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7F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7F86"/>
    <w:pPr>
      <w:numPr>
        <w:numId w:val="4"/>
      </w:numPr>
    </w:pPr>
  </w:style>
  <w:style w:type="paragraph" w:styleId="ListContinue2">
    <w:name w:val="List Continue 2"/>
    <w:basedOn w:val="List2"/>
    <w:rsid w:val="00CE7F86"/>
    <w:pPr>
      <w:ind w:firstLine="0"/>
    </w:pPr>
  </w:style>
  <w:style w:type="paragraph" w:styleId="ListContinue3">
    <w:name w:val="List Continue 3"/>
    <w:basedOn w:val="List3"/>
    <w:rsid w:val="00CE7F86"/>
    <w:pPr>
      <w:ind w:left="1021" w:firstLine="0"/>
    </w:pPr>
  </w:style>
  <w:style w:type="paragraph" w:styleId="ListContinue4">
    <w:name w:val="List Continue 4"/>
    <w:basedOn w:val="List4"/>
    <w:rsid w:val="00CE7F86"/>
    <w:pPr>
      <w:ind w:firstLine="0"/>
    </w:pPr>
  </w:style>
  <w:style w:type="paragraph" w:styleId="ListContinue5">
    <w:name w:val="List Continue 5"/>
    <w:basedOn w:val="List5"/>
    <w:rsid w:val="00CE7F86"/>
    <w:pPr>
      <w:ind w:firstLine="0"/>
    </w:pPr>
  </w:style>
  <w:style w:type="paragraph" w:styleId="ListNumber3">
    <w:name w:val="List Number 3"/>
    <w:basedOn w:val="List3"/>
    <w:rsid w:val="00CE7F86"/>
    <w:pPr>
      <w:numPr>
        <w:numId w:val="5"/>
      </w:numPr>
    </w:pPr>
  </w:style>
  <w:style w:type="paragraph" w:styleId="ListNumber4">
    <w:name w:val="List Number 4"/>
    <w:basedOn w:val="List4"/>
    <w:rsid w:val="00CE7F86"/>
    <w:pPr>
      <w:numPr>
        <w:numId w:val="6"/>
      </w:numPr>
    </w:pPr>
  </w:style>
  <w:style w:type="paragraph" w:styleId="ListNumber5">
    <w:name w:val="List Number 5"/>
    <w:basedOn w:val="List5"/>
    <w:rsid w:val="00CE7F86"/>
    <w:pPr>
      <w:numPr>
        <w:numId w:val="7"/>
      </w:numPr>
    </w:pPr>
  </w:style>
  <w:style w:type="paragraph" w:styleId="BlockText">
    <w:name w:val="Block Text"/>
    <w:basedOn w:val="Normal"/>
    <w:rsid w:val="00CE7F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7F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7F86"/>
    <w:rPr>
      <w:sz w:val="16"/>
      <w:vertAlign w:val="superscript"/>
    </w:rPr>
  </w:style>
  <w:style w:type="character" w:customStyle="1" w:styleId="Symbols">
    <w:name w:val="Symbols"/>
    <w:basedOn w:val="DefaultParagraphFont"/>
    <w:rsid w:val="00CE7F86"/>
    <w:rPr>
      <w:rFonts w:ascii="Symbol" w:hAnsi="Symbol"/>
    </w:rPr>
  </w:style>
  <w:style w:type="character" w:customStyle="1" w:styleId="MenuOptions">
    <w:name w:val="Menu Options"/>
    <w:basedOn w:val="DefaultParagraphFont"/>
    <w:rsid w:val="00CE7F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7F86"/>
    <w:rPr>
      <w:b/>
    </w:rPr>
  </w:style>
  <w:style w:type="character" w:customStyle="1" w:styleId="Underlined">
    <w:name w:val="Underlined"/>
    <w:basedOn w:val="DefaultParagraphFont"/>
    <w:rsid w:val="00CE7F86"/>
    <w:rPr>
      <w:u w:val="single"/>
    </w:rPr>
  </w:style>
  <w:style w:type="paragraph" w:customStyle="1" w:styleId="TableBodyTextRight">
    <w:name w:val="Table Body Text Right"/>
    <w:basedOn w:val="TableBodyText"/>
    <w:rsid w:val="00CE7F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7F86"/>
    <w:rPr>
      <w:sz w:val="18"/>
    </w:rPr>
  </w:style>
  <w:style w:type="paragraph" w:customStyle="1" w:styleId="BodySmallRight">
    <w:name w:val="Body Small Right"/>
    <w:basedOn w:val="BodyTextRight"/>
    <w:rsid w:val="00CE7F86"/>
    <w:rPr>
      <w:sz w:val="18"/>
      <w:szCs w:val="18"/>
    </w:rPr>
  </w:style>
  <w:style w:type="paragraph" w:customStyle="1" w:styleId="MarginEdition">
    <w:name w:val="Margin Edition"/>
    <w:basedOn w:val="MarginNote"/>
    <w:rsid w:val="00CE7F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7F86"/>
    <w:rPr>
      <w:sz w:val="2"/>
      <w:szCs w:val="2"/>
    </w:rPr>
  </w:style>
  <w:style w:type="character" w:customStyle="1" w:styleId="Small">
    <w:name w:val="Small"/>
    <w:basedOn w:val="DefaultParagraphFont"/>
    <w:rsid w:val="00CE7F86"/>
    <w:rPr>
      <w:sz w:val="16"/>
    </w:rPr>
  </w:style>
  <w:style w:type="paragraph" w:customStyle="1" w:styleId="WideTable">
    <w:name w:val="Wide Table"/>
    <w:basedOn w:val="Normal"/>
    <w:rsid w:val="00CE7F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7F86"/>
  </w:style>
  <w:style w:type="paragraph" w:styleId="Quote">
    <w:name w:val="Quote"/>
    <w:basedOn w:val="Heading1"/>
    <w:link w:val="QuoteChar"/>
    <w:qFormat/>
    <w:rsid w:val="00CE7F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7F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7F86"/>
    <w:pPr>
      <w:pageBreakBefore/>
    </w:pPr>
  </w:style>
  <w:style w:type="paragraph" w:customStyle="1" w:styleId="Border">
    <w:name w:val="Border"/>
    <w:basedOn w:val="Normal"/>
    <w:qFormat/>
    <w:rsid w:val="00CE7F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7F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7F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7F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7F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7F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7F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7F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7F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7F86"/>
    <w:rPr>
      <w:u w:val="single"/>
    </w:rPr>
  </w:style>
  <w:style w:type="character" w:customStyle="1" w:styleId="BoldandItalics">
    <w:name w:val="Bold and Italics"/>
    <w:qFormat/>
    <w:rsid w:val="00CE7F86"/>
    <w:rPr>
      <w:b/>
      <w:i/>
      <w:u w:val="none"/>
    </w:rPr>
  </w:style>
  <w:style w:type="paragraph" w:styleId="BalloonText">
    <w:name w:val="Balloon Text"/>
    <w:basedOn w:val="Normal"/>
    <w:link w:val="BalloonTextChar"/>
    <w:rsid w:val="00CE7F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7F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7F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7F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7F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7F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7F86"/>
    <w:pPr>
      <w:spacing w:before="0" w:after="0"/>
    </w:pPr>
  </w:style>
  <w:style w:type="paragraph" w:customStyle="1" w:styleId="BodyTextBold">
    <w:name w:val="Body Text Bold"/>
    <w:basedOn w:val="BodyText"/>
    <w:qFormat/>
    <w:rsid w:val="00CE7F86"/>
    <w:rPr>
      <w:b/>
    </w:rPr>
  </w:style>
  <w:style w:type="character" w:styleId="Hyperlink">
    <w:name w:val="Hyperlink"/>
    <w:basedOn w:val="DefaultParagraphFont"/>
    <w:uiPriority w:val="99"/>
    <w:unhideWhenUsed/>
    <w:rsid w:val="00C00C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758</Words>
  <Characters>4964</Characters>
  <Application>Microsoft Office Word</Application>
  <DocSecurity>0</DocSecurity>
  <Lines>261</Lines>
  <Paragraphs>150</Paragraphs>
  <ScaleCrop>false</ScaleCrop>
  <Company>Author-it Software Corporation Ltd.</Company>
  <LinksUpToDate>false</LinksUpToDate>
  <CharactersWithSpaces>5572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MEM25011 Install marine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2023-02-03T06:21:00Z</dcterms:created>
  <dcterms:modified xsi:type="dcterms:W3CDTF">2023-02-03T06:21:00Z</dcterms:modified>
</cp:coreProperties>
</file>