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2C3E" w:rsidP="00C72C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MEM25010 Perform fitout procedures</w:t>
      </w:r>
      <w:r>
        <w:fldChar w:fldCharType="end"/>
      </w:r>
    </w:p>
    <w:p w:rsidR="00C72C3E" w:rsidP="00C72C3E">
      <w:pPr>
        <w:pStyle w:val="Version"/>
        <w:sectPr w:rsidSect="002373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37388" w:rsidP="00237388">
      <w:pPr>
        <w:pStyle w:val="SuperHeading"/>
      </w:pPr>
      <w:r w:rsidRPr="00237388">
        <w:t>MEM25010 Perform fitout procedures</w:t>
      </w:r>
    </w:p>
    <w:p w:rsidR="00000000" w:rsidRPr="00237388" w:rsidP="00237388">
      <w:pPr>
        <w:pStyle w:val="Heading1"/>
      </w:pPr>
      <w:bookmarkStart w:id="1" w:name="O_1170269"/>
      <w:bookmarkEnd w:id="1"/>
      <w:r w:rsidRPr="00237388">
        <w:t>Modification History</w:t>
      </w:r>
    </w:p>
    <w:p w:rsidR="00000000" w:rsidRPr="00237388" w:rsidP="00C72C3E">
      <w:pPr>
        <w:pStyle w:val="BodyText"/>
      </w:pPr>
      <w:r w:rsidRPr="00237388">
        <w:t>Release 2. Quantum of hours of workplace practice removed. Supersedes and is equivalent to MEM25010 Perform fitout procedures (Release 1).</w:t>
      </w:r>
    </w:p>
    <w:p w:rsidR="00000000" w:rsidRPr="00237388" w:rsidP="00C72C3E">
      <w:pPr>
        <w:pStyle w:val="BodyText"/>
      </w:pPr>
      <w:r w:rsidRPr="00237388">
        <w:t>Release 1. Supersedes and is equivalent to MEM25010B Perform fitout procedures.</w:t>
      </w:r>
    </w:p>
    <w:p w:rsidR="00000000" w:rsidRPr="00237388" w:rsidP="00237388">
      <w:pPr>
        <w:pStyle w:val="Heading1"/>
      </w:pPr>
      <w:bookmarkStart w:id="2" w:name="O_1170268"/>
      <w:bookmarkEnd w:id="2"/>
      <w:r w:rsidRPr="00237388">
        <w:t>Application</w:t>
      </w:r>
    </w:p>
    <w:p w:rsidR="00000000" w:rsidRPr="00237388" w:rsidP="00C72C3E">
      <w:pPr>
        <w:pStyle w:val="BodyText"/>
      </w:pPr>
      <w:r w:rsidRPr="00237388">
        <w:t xml:space="preserve">This unit of competency defines the skills and knowledge required to fit out marine vessels. </w:t>
      </w:r>
    </w:p>
    <w:p w:rsidR="00000000" w:rsidRPr="00237388" w:rsidP="00C72C3E">
      <w:pPr>
        <w:pStyle w:val="BodyText"/>
      </w:pPr>
      <w:r w:rsidRPr="00237388">
        <w:t>It includes set out, construction, assembly and installation of a variety of components and also includes the installation of thermal, noise, vibr</w:t>
      </w:r>
      <w:r w:rsidRPr="00237388">
        <w:t xml:space="preserve">ation and fire control insulation materials. </w:t>
      </w:r>
    </w:p>
    <w:p w:rsidR="00000000" w:rsidRPr="00237388" w:rsidP="00C72C3E">
      <w:pPr>
        <w:pStyle w:val="BodyText"/>
      </w:pPr>
      <w:r w:rsidRPr="00237388">
        <w:t xml:space="preserve">This unit applies to both </w:t>
      </w:r>
      <w:r>
        <w:t>‘</w:t>
      </w:r>
      <w:r w:rsidRPr="00237388">
        <w:t>on the job</w:t>
      </w:r>
      <w:r>
        <w:t>’</w:t>
      </w:r>
      <w:r w:rsidRPr="00237388">
        <w:t xml:space="preserve"> and </w:t>
      </w:r>
      <w:r>
        <w:t>‘</w:t>
      </w:r>
      <w:r w:rsidRPr="00237388">
        <w:t>pre-fabricated structure fitouts</w:t>
      </w:r>
      <w:r>
        <w:t>’</w:t>
      </w:r>
      <w:r w:rsidRPr="00237388">
        <w:t xml:space="preserve"> and all work is carried out safely to specified industry standards for timber joinery, surface finish, appearance characteristics, </w:t>
      </w:r>
      <w:r w:rsidRPr="00237388">
        <w:t>dressing or plugging of fastenings.</w:t>
      </w:r>
    </w:p>
    <w:p w:rsidR="00000000" w:rsidRPr="00237388" w:rsidP="00C72C3E">
      <w:pPr>
        <w:pStyle w:val="BodyText"/>
      </w:pPr>
      <w:r w:rsidRPr="00237388">
        <w:t>Where lines plan drawings and loftings are required to be interpreted unit MEM09021 Interpret and produce drawings of curved 3-D shapes should also be selected.</w:t>
      </w:r>
    </w:p>
    <w:p w:rsidR="00000000" w:rsidRPr="00237388" w:rsidP="00C72C3E">
      <w:pPr>
        <w:pStyle w:val="BodyText"/>
      </w:pPr>
      <w:r w:rsidRPr="00237388">
        <w:t>Where straightforward installation of fittings/accessorie</w:t>
      </w:r>
      <w:r w:rsidRPr="00237388">
        <w:t xml:space="preserve">s is required unit MEM18002 Use power tools/hand held operations should also be selected. </w:t>
      </w:r>
    </w:p>
    <w:p w:rsidR="00000000" w:rsidRPr="00237388" w:rsidP="00C72C3E">
      <w:pPr>
        <w:pStyle w:val="BodyText"/>
      </w:pPr>
      <w:r w:rsidRPr="00237388">
        <w:t>Where construction of fibre reinforced plastics components are required to be undertaken unit MEM25002 Form and integrate fibre-reinforced structures should also be</w:t>
      </w:r>
      <w:r w:rsidRPr="00237388">
        <w:t xml:space="preserve"> selected.</w:t>
      </w:r>
    </w:p>
    <w:p w:rsidR="00000000" w:rsidRPr="00237388" w:rsidP="00C72C3E">
      <w:pPr>
        <w:pStyle w:val="BodyText"/>
      </w:pPr>
      <w:r w:rsidRPr="00237388">
        <w:t>Where construction of solid timber shapes using hot processes is required to be undertaken unit MEM25009 Form timber shapes using hot processes should also be selected.</w:t>
      </w:r>
    </w:p>
    <w:p w:rsidR="00000000" w:rsidRPr="00237388" w:rsidP="00C72C3E">
      <w:pPr>
        <w:pStyle w:val="BodyText"/>
      </w:pPr>
      <w:r w:rsidRPr="00237388">
        <w:t>No licensing, legislative or certification requirements apply to this unit</w:t>
      </w:r>
      <w:r w:rsidRPr="00237388">
        <w:t xml:space="preserve"> at the time of publication.</w:t>
      </w:r>
    </w:p>
    <w:p w:rsidR="00000000" w:rsidRPr="00237388" w:rsidP="00237388">
      <w:pPr>
        <w:pStyle w:val="BodyText"/>
      </w:pPr>
      <w:r w:rsidRPr="00237388">
        <w:rPr>
          <w:rStyle w:val="SpecialBold"/>
        </w:rPr>
        <w:t>Band</w:t>
      </w:r>
      <w:r w:rsidRPr="00237388">
        <w:t>:</w:t>
      </w:r>
      <w:r w:rsidRPr="00237388">
        <w:tab/>
      </w:r>
      <w:r w:rsidRPr="00237388">
        <w:rPr>
          <w:rStyle w:val="SpecialBold"/>
        </w:rPr>
        <w:t>A</w:t>
      </w:r>
    </w:p>
    <w:p w:rsidR="00000000" w:rsidRPr="00237388" w:rsidP="00237388">
      <w:pPr>
        <w:pStyle w:val="BodyText"/>
      </w:pPr>
      <w:r w:rsidRPr="00237388">
        <w:rPr>
          <w:rStyle w:val="SpecialBold"/>
        </w:rPr>
        <w:t>Unit Weight</w:t>
      </w:r>
      <w:r w:rsidRPr="00237388">
        <w:t>:</w:t>
      </w:r>
      <w:r w:rsidRPr="00237388">
        <w:tab/>
      </w:r>
      <w:r w:rsidRPr="00237388">
        <w:rPr>
          <w:rStyle w:val="SpecialBold"/>
        </w:rPr>
        <w:t>4</w:t>
      </w:r>
    </w:p>
    <w:p w:rsidR="00000000" w:rsidRPr="00237388" w:rsidP="00237388">
      <w:pPr>
        <w:pStyle w:val="AllowPageBreak"/>
      </w:pPr>
    </w:p>
    <w:p w:rsidR="00000000" w:rsidRPr="00237388" w:rsidP="00237388">
      <w:pPr>
        <w:pStyle w:val="Heading1"/>
      </w:pPr>
      <w:bookmarkStart w:id="3" w:name="O_1170267"/>
      <w:bookmarkEnd w:id="3"/>
      <w:r w:rsidRPr="0023738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MEM04018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Perform general woodworking machine operations</w:t>
            </w:r>
          </w:p>
        </w:tc>
      </w:tr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Interpret technical drawing</w:t>
            </w:r>
          </w:p>
        </w:tc>
      </w:tr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Undertake manual handling</w:t>
            </w:r>
          </w:p>
        </w:tc>
      </w:tr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MEM12007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Mark off/out structural fabrications and shapes</w:t>
            </w:r>
          </w:p>
        </w:tc>
      </w:tr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Perform engineering measurements</w:t>
            </w:r>
          </w:p>
        </w:tc>
      </w:tr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Perform computations</w:t>
            </w:r>
          </w:p>
        </w:tc>
      </w:tr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Work safely and effectively in manufacturing and engineering</w:t>
            </w:r>
          </w:p>
        </w:tc>
      </w:tr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Plan work activities</w:t>
            </w:r>
          </w:p>
        </w:tc>
      </w:tr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Organise and communicate information</w:t>
            </w:r>
          </w:p>
        </w:tc>
      </w:tr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Use hand tools</w:t>
            </w:r>
          </w:p>
        </w:tc>
      </w:tr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Use power tools/hand held operations</w:t>
            </w:r>
          </w:p>
        </w:tc>
      </w:tr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MEM25005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388" w:rsidP="00237388">
            <w:pPr>
              <w:pStyle w:val="BodyText"/>
            </w:pPr>
            <w:r w:rsidRPr="00237388">
              <w:t>Construct and assemble marine vessel timber components</w:t>
            </w:r>
          </w:p>
        </w:tc>
      </w:tr>
    </w:tbl>
    <w:p w:rsidR="00000000" w:rsidRPr="00237388" w:rsidP="00237388">
      <w:pPr>
        <w:pStyle w:val="BodyText"/>
      </w:pPr>
    </w:p>
    <w:p w:rsidR="00000000" w:rsidRPr="00237388" w:rsidP="00237388">
      <w:pPr>
        <w:pStyle w:val="AllowPageBreak"/>
      </w:pPr>
    </w:p>
    <w:p w:rsidR="00000000" w:rsidRPr="00237388" w:rsidP="00237388">
      <w:pPr>
        <w:pStyle w:val="Heading1"/>
      </w:pPr>
      <w:bookmarkStart w:id="4" w:name="O_1170266"/>
      <w:bookmarkEnd w:id="4"/>
      <w:r w:rsidRPr="00237388">
        <w:t>Competency Field</w:t>
      </w:r>
    </w:p>
    <w:p w:rsidR="00000000" w:rsidRPr="00237388" w:rsidP="00C72C3E">
      <w:pPr>
        <w:pStyle w:val="BodyText"/>
      </w:pPr>
      <w:r w:rsidRPr="00237388">
        <w:t>Marine craft construction</w:t>
      </w:r>
    </w:p>
    <w:p w:rsidR="00000000" w:rsidRPr="00237388" w:rsidP="00237388">
      <w:pPr>
        <w:pStyle w:val="Heading1"/>
      </w:pPr>
      <w:bookmarkStart w:id="5" w:name="O_1170265"/>
      <w:bookmarkEnd w:id="5"/>
      <w:r w:rsidRPr="0023738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Performance criteria describe the performance needed to demonstrate achievement of the element.</w:t>
            </w:r>
          </w:p>
        </w:tc>
      </w:tr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388" w:rsidP="00237388">
            <w:pPr>
              <w:pStyle w:val="BodyText"/>
            </w:pPr>
            <w:r w:rsidRPr="00237388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Follow standard operating procedures (SOPs)</w:t>
            </w:r>
          </w:p>
        </w:tc>
      </w:tr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Comply with work health and safety (WHS) requirements at all times</w:t>
            </w:r>
          </w:p>
        </w:tc>
      </w:tr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Use appropriate personal protective equipment (PPE) in accordance with SOPs</w:t>
            </w:r>
          </w:p>
        </w:tc>
      </w:tr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Identify job requirements from specifications, drawings, fitout plans, job sheets or work instructions</w:t>
            </w:r>
          </w:p>
        </w:tc>
      </w:tr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</w:p>
        </w:tc>
      </w:tr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388" w:rsidP="00237388">
            <w:pPr>
              <w:pStyle w:val="BodyText"/>
            </w:pPr>
            <w:r w:rsidRPr="00237388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rPr>
                <w:rStyle w:val="SpecialBold"/>
              </w:rPr>
              <w:t>Construct fitout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Identify materials for fitout from fitout plans</w:t>
            </w:r>
          </w:p>
        </w:tc>
      </w:tr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Check take-off quantities and produce cutting list, if required</w:t>
            </w:r>
          </w:p>
        </w:tc>
      </w:tr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Machine material to suit job scantling sizes, strength and appearance requirements</w:t>
            </w:r>
          </w:p>
        </w:tc>
      </w:tr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Mark/cut out materials to specification</w:t>
            </w:r>
          </w:p>
        </w:tc>
      </w:tr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Identify components requiring assembly and determine the sequence of assembly</w:t>
            </w:r>
          </w:p>
        </w:tc>
      </w:tr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</w:p>
        </w:tc>
      </w:tr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388" w:rsidP="00237388">
            <w:pPr>
              <w:pStyle w:val="BodyText"/>
            </w:pPr>
            <w:r w:rsidRPr="00237388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rPr>
                <w:rStyle w:val="SpecialBold"/>
              </w:rPr>
              <w:t>Assemble fitout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Identify method of assembling and fastening components</w:t>
            </w:r>
          </w:p>
        </w:tc>
      </w:tr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Assemble components to specifications</w:t>
            </w:r>
          </w:p>
        </w:tc>
      </w:tr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Remove waste materials in accordance with work practices and relevant legislation</w:t>
            </w:r>
          </w:p>
        </w:tc>
      </w:tr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Sand surface area of assembled components for installation, where applicable</w:t>
            </w:r>
          </w:p>
        </w:tc>
      </w:tr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Pre-coat component surface for preservation according to standard specifications and procedures, where applicable</w:t>
            </w:r>
          </w:p>
        </w:tc>
      </w:tr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</w:p>
        </w:tc>
      </w:tr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388" w:rsidP="00237388">
            <w:pPr>
              <w:pStyle w:val="BodyText"/>
            </w:pPr>
            <w:r w:rsidRPr="00237388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rPr>
                <w:rStyle w:val="SpecialBold"/>
              </w:rPr>
              <w:t>Install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Mark surface area for layout installation, where applicable</w:t>
            </w:r>
          </w:p>
        </w:tc>
      </w:tr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Apply fitting and levelling practices</w:t>
            </w:r>
          </w:p>
        </w:tc>
      </w:tr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Select fastenings to suit job requirements</w:t>
            </w:r>
          </w:p>
        </w:tc>
      </w:tr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Fix components to meet specified job requirements</w:t>
            </w:r>
          </w:p>
        </w:tc>
      </w:tr>
      <w:tr w:rsidTr="00237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388" w:rsidP="00237388">
            <w:pPr>
              <w:pStyle w:val="BodyText"/>
            </w:pPr>
            <w:r w:rsidRPr="00237388">
              <w:t>Apply clean work practices for coating and adhesive applications</w:t>
            </w:r>
          </w:p>
        </w:tc>
      </w:tr>
    </w:tbl>
    <w:p w:rsidR="00000000" w:rsidRPr="00237388" w:rsidP="00237388">
      <w:pPr>
        <w:pStyle w:val="BodyText"/>
      </w:pPr>
    </w:p>
    <w:p w:rsidR="00000000" w:rsidRPr="00237388" w:rsidP="00237388">
      <w:pPr>
        <w:pStyle w:val="AllowPageBreak"/>
      </w:pPr>
    </w:p>
    <w:p w:rsidR="00000000" w:rsidRPr="00237388" w:rsidP="00237388">
      <w:pPr>
        <w:pStyle w:val="Heading1"/>
      </w:pPr>
      <w:bookmarkStart w:id="6" w:name="O_1170264"/>
      <w:bookmarkEnd w:id="6"/>
      <w:r w:rsidRPr="00237388">
        <w:t>Foundation Skills</w:t>
      </w:r>
    </w:p>
    <w:p w:rsidR="00000000" w:rsidRPr="00237388" w:rsidP="00C72C3E">
      <w:pPr>
        <w:pStyle w:val="BodyText"/>
      </w:pPr>
      <w:r w:rsidRPr="00237388">
        <w:t xml:space="preserve">This section describes those required skills (reading, writing, oral communication and numeracy) that are essential to workplace performance in this unit of competency.  </w:t>
      </w:r>
    </w:p>
    <w:p w:rsidR="00000000" w:rsidRPr="00237388" w:rsidP="00C72C3E">
      <w:pPr>
        <w:pStyle w:val="BodyText"/>
      </w:pPr>
      <w:r w:rsidRPr="00237388">
        <w:t xml:space="preserve">Foundation skills essential to performance are explicit in the performance criteria </w:t>
      </w:r>
      <w:r w:rsidRPr="00237388">
        <w:t>of this unit of competency.</w:t>
      </w:r>
    </w:p>
    <w:p w:rsidR="00000000" w:rsidRPr="00237388" w:rsidP="00237388">
      <w:pPr>
        <w:pStyle w:val="Heading1"/>
      </w:pPr>
      <w:bookmarkStart w:id="7" w:name="O_1170263"/>
      <w:bookmarkEnd w:id="7"/>
      <w:r w:rsidRPr="00237388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23738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t>This field allows for different work environments and conditions that may affect performance. Essential operating conditions that may be present (depending on the work situation, needs of t</w:t>
            </w:r>
            <w:r w:rsidRPr="00237388">
              <w:t>he candidate, accessibility of the item, and local industry and regional contexts) are included.</w:t>
            </w:r>
          </w:p>
        </w:tc>
      </w:tr>
      <w:tr w:rsidTr="0023738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388" w:rsidP="00237388">
            <w:pPr>
              <w:pStyle w:val="ListBullet"/>
            </w:pPr>
            <w:r w:rsidRPr="00237388">
              <w:t>timber</w:t>
            </w:r>
          </w:p>
          <w:p w:rsidR="00000000" w:rsidRPr="00237388" w:rsidP="00237388">
            <w:pPr>
              <w:pStyle w:val="ListBullet"/>
            </w:pPr>
            <w:r w:rsidRPr="00237388">
              <w:t>composites</w:t>
            </w:r>
          </w:p>
          <w:p w:rsidR="00000000" w:rsidRPr="00237388" w:rsidP="00237388">
            <w:pPr>
              <w:pStyle w:val="ListBullet"/>
            </w:pPr>
            <w:r w:rsidRPr="00237388">
              <w:t>fibre-reinforced plastics</w:t>
            </w:r>
          </w:p>
          <w:p w:rsidR="00000000" w:rsidRPr="00237388" w:rsidP="00237388">
            <w:pPr>
              <w:pStyle w:val="ListBullet"/>
            </w:pPr>
            <w:r w:rsidRPr="00237388">
              <w:t>acrylics</w:t>
            </w:r>
          </w:p>
          <w:p w:rsidR="00000000" w:rsidRPr="00237388" w:rsidP="00237388">
            <w:pPr>
              <w:pStyle w:val="ListBullet"/>
            </w:pPr>
            <w:r w:rsidRPr="00237388">
              <w:t>polycarbonates</w:t>
            </w:r>
          </w:p>
          <w:p w:rsidR="00000000" w:rsidRPr="00237388" w:rsidP="00237388">
            <w:pPr>
              <w:pStyle w:val="ListBullet"/>
            </w:pPr>
            <w:r w:rsidRPr="00237388">
              <w:t>glass</w:t>
            </w:r>
          </w:p>
          <w:p w:rsidR="00000000" w:rsidRPr="00237388" w:rsidP="00237388">
            <w:pPr>
              <w:pStyle w:val="ListBullet"/>
            </w:pPr>
            <w:r w:rsidRPr="00237388">
              <w:t>metal</w:t>
            </w:r>
          </w:p>
          <w:p w:rsidR="00000000" w:rsidP="00237388">
            <w:pPr>
              <w:pStyle w:val="BodyText"/>
              <w:rPr>
                <w:lang w:val="en-NZ"/>
              </w:rPr>
            </w:pPr>
          </w:p>
        </w:tc>
      </w:tr>
      <w:tr w:rsidTr="0023738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88">
            <w:pPr>
              <w:pStyle w:val="BodyText"/>
              <w:rPr>
                <w:lang w:val="en-NZ"/>
              </w:rPr>
            </w:pPr>
            <w:r w:rsidRPr="00237388">
              <w:rPr>
                <w:rStyle w:val="SpecialBold"/>
              </w:rPr>
              <w:t>Com</w:t>
            </w:r>
            <w:r w:rsidRPr="00237388">
              <w:rPr>
                <w:rStyle w:val="SpecialBold"/>
              </w:rPr>
              <w:t>ponents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388" w:rsidP="00237388">
            <w:pPr>
              <w:pStyle w:val="ListBullet"/>
            </w:pPr>
            <w:r w:rsidRPr="00237388">
              <w:t>flooring/decking, partitions</w:t>
            </w:r>
          </w:p>
          <w:p w:rsidR="00000000" w:rsidRPr="00237388" w:rsidP="00237388">
            <w:pPr>
              <w:pStyle w:val="ListBullet"/>
            </w:pPr>
            <w:r w:rsidRPr="00237388">
              <w:t>door frames</w:t>
            </w:r>
          </w:p>
          <w:p w:rsidR="00000000" w:rsidRPr="00237388" w:rsidP="00237388">
            <w:pPr>
              <w:pStyle w:val="ListBullet"/>
            </w:pPr>
            <w:r w:rsidRPr="00237388">
              <w:t>portlights</w:t>
            </w:r>
          </w:p>
          <w:p w:rsidR="00000000" w:rsidRPr="00237388" w:rsidP="00237388">
            <w:pPr>
              <w:pStyle w:val="ListBullet"/>
            </w:pPr>
            <w:r w:rsidRPr="00237388">
              <w:t>hatches</w:t>
            </w:r>
          </w:p>
          <w:p w:rsidR="00000000" w:rsidRPr="00237388" w:rsidP="00237388">
            <w:pPr>
              <w:pStyle w:val="ListBullet"/>
            </w:pPr>
            <w:r w:rsidRPr="00237388">
              <w:t>windows</w:t>
            </w:r>
          </w:p>
          <w:p w:rsidR="00000000" w:rsidRPr="00237388" w:rsidP="00237388">
            <w:pPr>
              <w:pStyle w:val="ListBullet"/>
            </w:pPr>
            <w:r w:rsidRPr="00237388">
              <w:t>windscreens</w:t>
            </w:r>
          </w:p>
          <w:p w:rsidR="00000000" w:rsidRPr="00237388" w:rsidP="00237388">
            <w:pPr>
              <w:pStyle w:val="ListBullet"/>
            </w:pPr>
            <w:r w:rsidRPr="00237388">
              <w:t>non-structural bulkheads</w:t>
            </w:r>
          </w:p>
          <w:p w:rsidR="00000000" w:rsidRPr="00237388" w:rsidP="00237388">
            <w:pPr>
              <w:pStyle w:val="ListBullet"/>
            </w:pPr>
            <w:r w:rsidRPr="00237388">
              <w:t>deckheads</w:t>
            </w:r>
          </w:p>
          <w:p w:rsidR="00000000" w:rsidRPr="00237388" w:rsidP="00237388">
            <w:pPr>
              <w:pStyle w:val="ListBullet"/>
            </w:pPr>
            <w:r w:rsidRPr="00237388">
              <w:t>bunks</w:t>
            </w:r>
          </w:p>
          <w:p w:rsidR="00000000" w:rsidRPr="00237388" w:rsidP="00237388">
            <w:pPr>
              <w:pStyle w:val="ListBullet"/>
            </w:pPr>
            <w:r w:rsidRPr="00237388">
              <w:t>cupboards and other furniture</w:t>
            </w:r>
          </w:p>
          <w:p w:rsidR="00000000" w:rsidRPr="00237388" w:rsidP="00237388">
            <w:pPr>
              <w:pStyle w:val="ListBullet"/>
            </w:pPr>
            <w:r w:rsidRPr="00237388">
              <w:t>lining</w:t>
            </w:r>
          </w:p>
          <w:p w:rsidR="00000000" w:rsidRPr="00237388" w:rsidP="00237388">
            <w:pPr>
              <w:pStyle w:val="ListBullet"/>
            </w:pPr>
            <w:r w:rsidRPr="00237388">
              <w:t>engine room and galley</w:t>
            </w:r>
          </w:p>
          <w:p w:rsidR="00000000" w:rsidRPr="00237388" w:rsidP="00237388">
            <w:pPr>
              <w:pStyle w:val="BodyText"/>
            </w:pPr>
          </w:p>
        </w:tc>
      </w:tr>
    </w:tbl>
    <w:p w:rsidR="00000000" w:rsidRPr="00237388" w:rsidP="00237388">
      <w:pPr>
        <w:pStyle w:val="BodyText"/>
      </w:pPr>
    </w:p>
    <w:p w:rsidR="00000000" w:rsidRPr="00237388" w:rsidP="00237388">
      <w:pPr>
        <w:pStyle w:val="AllowPageBreak"/>
      </w:pPr>
    </w:p>
    <w:p w:rsidR="00000000" w:rsidRPr="00237388" w:rsidP="00237388">
      <w:pPr>
        <w:pStyle w:val="Heading1"/>
      </w:pPr>
      <w:bookmarkStart w:id="8" w:name="O_1170262"/>
      <w:bookmarkEnd w:id="8"/>
      <w:r w:rsidRPr="00237388">
        <w:t>Unit Mapping Information</w:t>
      </w:r>
    </w:p>
    <w:p w:rsidR="00000000" w:rsidRPr="00237388" w:rsidP="00C72C3E">
      <w:pPr>
        <w:pStyle w:val="BodyText"/>
      </w:pPr>
      <w:r w:rsidRPr="00237388">
        <w:t>Release 2. Supersedes and is equivalent to MEM25010 Perform fitout procedures (Release 1).</w:t>
      </w:r>
    </w:p>
    <w:p w:rsidR="00000000" w:rsidRPr="00237388" w:rsidP="00C72C3E">
      <w:pPr>
        <w:pStyle w:val="BodyText"/>
      </w:pPr>
      <w:r w:rsidRPr="00237388">
        <w:t>Release 1. Supersedes and is equivalent to MEM25010B Perform fitout procedures.</w:t>
      </w:r>
    </w:p>
    <w:p w:rsidR="00000000" w:rsidRPr="00237388" w:rsidP="00237388">
      <w:pPr>
        <w:pStyle w:val="Heading1"/>
      </w:pPr>
      <w:bookmarkStart w:id="9" w:name="O_1170270"/>
      <w:bookmarkEnd w:id="9"/>
      <w:r w:rsidRPr="00237388">
        <w:t>Links</w:t>
      </w:r>
    </w:p>
    <w:p w:rsidR="00000000" w:rsidRPr="00237388" w:rsidP="00C72C3E">
      <w:pPr>
        <w:pStyle w:val="BodyText"/>
      </w:pPr>
      <w:r w:rsidRPr="00237388">
        <w:t>Companion Volume implementation gui</w:t>
      </w:r>
      <w:r w:rsidRPr="00237388">
        <w:t xml:space="preserve">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308B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37388" w:rsidP="00237388"/>
    <w:sectPr w:rsidSect="002373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3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388" w:rsidRPr="00C72C3E" w:rsidP="00C72C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3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C3E" w:rsidP="002373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2C3E" w:rsidP="002373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72C3E" w:rsidP="002373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3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C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7388" w:rsidRPr="00C72C3E" w:rsidP="00C72C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3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C3E" w:rsidRPr="002D2AF8" w:rsidP="002373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MEM25010 Perform fitout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72C3E" w:rsidP="002373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066E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0827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3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73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73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73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73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73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73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73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73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73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73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7388"/>
  </w:style>
  <w:style w:type="character" w:customStyle="1" w:styleId="Heading1Char">
    <w:name w:val="Heading 1 Char"/>
    <w:basedOn w:val="DefaultParagraphFont"/>
    <w:link w:val="Heading1"/>
    <w:rsid w:val="002373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73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73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73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7388"/>
    <w:rPr>
      <w:b/>
      <w:spacing w:val="0"/>
    </w:rPr>
  </w:style>
  <w:style w:type="paragraph" w:customStyle="1" w:styleId="SuperHeading">
    <w:name w:val="SuperHeading"/>
    <w:basedOn w:val="Normal"/>
    <w:rsid w:val="002373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73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73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73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73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73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73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73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73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73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73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73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73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73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73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73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73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73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73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73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73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73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73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73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73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73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73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73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73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73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73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73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73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73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73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7388"/>
    <w:rPr>
      <w:i/>
    </w:rPr>
  </w:style>
  <w:style w:type="paragraph" w:styleId="Caption">
    <w:name w:val="caption"/>
    <w:basedOn w:val="BodyText"/>
    <w:next w:val="Normal"/>
    <w:qFormat/>
    <w:rsid w:val="002373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73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73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7388"/>
  </w:style>
  <w:style w:type="paragraph" w:styleId="TableofFigures">
    <w:name w:val="table of figures"/>
    <w:basedOn w:val="Normal"/>
    <w:next w:val="Normal"/>
    <w:semiHidden/>
    <w:rsid w:val="002373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73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7388"/>
    <w:rPr>
      <w:rFonts w:ascii="Wingdings" w:hAnsi="Wingdings"/>
    </w:rPr>
  </w:style>
  <w:style w:type="paragraph" w:customStyle="1" w:styleId="TableHeading">
    <w:name w:val="Table Heading"/>
    <w:basedOn w:val="HeadingBase"/>
    <w:rsid w:val="002373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7388"/>
    <w:rPr>
      <w:color w:val="0033CC"/>
      <w:u w:val="none"/>
    </w:rPr>
  </w:style>
  <w:style w:type="paragraph" w:customStyle="1" w:styleId="BodyTextRight">
    <w:name w:val="Body Text Right"/>
    <w:basedOn w:val="BodyText"/>
    <w:rsid w:val="002373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73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73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73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73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73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7388"/>
    <w:rPr>
      <w:sz w:val="32"/>
    </w:rPr>
  </w:style>
  <w:style w:type="paragraph" w:customStyle="1" w:styleId="HeadingProcedure">
    <w:name w:val="Heading Procedure"/>
    <w:basedOn w:val="HeadingBase"/>
    <w:next w:val="Normal"/>
    <w:rsid w:val="002373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7388"/>
    <w:pPr>
      <w:spacing w:before="60" w:after="60"/>
    </w:pPr>
  </w:style>
  <w:style w:type="paragraph" w:styleId="ListContinue">
    <w:name w:val="List Continue"/>
    <w:basedOn w:val="List"/>
    <w:rsid w:val="00237388"/>
    <w:pPr>
      <w:ind w:firstLine="0"/>
    </w:pPr>
  </w:style>
  <w:style w:type="paragraph" w:customStyle="1" w:styleId="ListNote">
    <w:name w:val="List Note"/>
    <w:basedOn w:val="List"/>
    <w:rsid w:val="002373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73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73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7388"/>
    <w:rPr>
      <w:rFonts w:ascii="Courier New" w:hAnsi="Courier New"/>
    </w:rPr>
  </w:style>
  <w:style w:type="paragraph" w:customStyle="1" w:styleId="NoteBullet">
    <w:name w:val="Note Bullet"/>
    <w:basedOn w:val="Note"/>
    <w:rsid w:val="002373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73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73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73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73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73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73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7388"/>
    <w:rPr>
      <w:b/>
      <w:smallCaps/>
    </w:rPr>
  </w:style>
  <w:style w:type="paragraph" w:customStyle="1" w:styleId="TableListNumber">
    <w:name w:val="Table List Number"/>
    <w:basedOn w:val="ListNumber"/>
    <w:rsid w:val="002373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73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7388"/>
    <w:pPr>
      <w:numPr>
        <w:numId w:val="8"/>
      </w:numPr>
    </w:pPr>
  </w:style>
  <w:style w:type="paragraph" w:customStyle="1" w:styleId="ListAlpha2">
    <w:name w:val="List Alpha 2"/>
    <w:basedOn w:val="List2"/>
    <w:rsid w:val="00237388"/>
    <w:pPr>
      <w:numPr>
        <w:numId w:val="7"/>
      </w:numPr>
    </w:pPr>
  </w:style>
  <w:style w:type="paragraph" w:styleId="List2">
    <w:name w:val="List 2"/>
    <w:basedOn w:val="BodyText"/>
    <w:rsid w:val="002373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73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73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73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73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73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7388"/>
    <w:pPr>
      <w:numPr>
        <w:numId w:val="3"/>
      </w:numPr>
    </w:pPr>
  </w:style>
  <w:style w:type="paragraph" w:styleId="ListContinue2">
    <w:name w:val="List Continue 2"/>
    <w:basedOn w:val="List2"/>
    <w:rsid w:val="00237388"/>
    <w:pPr>
      <w:ind w:firstLine="0"/>
    </w:pPr>
  </w:style>
  <w:style w:type="paragraph" w:styleId="ListContinue3">
    <w:name w:val="List Continue 3"/>
    <w:basedOn w:val="List3"/>
    <w:rsid w:val="00237388"/>
    <w:pPr>
      <w:ind w:left="1021" w:firstLine="0"/>
    </w:pPr>
  </w:style>
  <w:style w:type="paragraph" w:styleId="ListContinue4">
    <w:name w:val="List Continue 4"/>
    <w:basedOn w:val="List4"/>
    <w:rsid w:val="00237388"/>
    <w:pPr>
      <w:ind w:firstLine="0"/>
    </w:pPr>
  </w:style>
  <w:style w:type="paragraph" w:styleId="ListContinue5">
    <w:name w:val="List Continue 5"/>
    <w:basedOn w:val="List5"/>
    <w:rsid w:val="00237388"/>
    <w:pPr>
      <w:ind w:firstLine="0"/>
    </w:pPr>
  </w:style>
  <w:style w:type="paragraph" w:styleId="ListNumber3">
    <w:name w:val="List Number 3"/>
    <w:basedOn w:val="List3"/>
    <w:rsid w:val="00237388"/>
    <w:pPr>
      <w:numPr>
        <w:numId w:val="4"/>
      </w:numPr>
    </w:pPr>
  </w:style>
  <w:style w:type="paragraph" w:styleId="ListNumber4">
    <w:name w:val="List Number 4"/>
    <w:basedOn w:val="List4"/>
    <w:rsid w:val="00237388"/>
    <w:pPr>
      <w:numPr>
        <w:numId w:val="5"/>
      </w:numPr>
    </w:pPr>
  </w:style>
  <w:style w:type="paragraph" w:styleId="ListNumber5">
    <w:name w:val="List Number 5"/>
    <w:basedOn w:val="List5"/>
    <w:rsid w:val="00237388"/>
    <w:pPr>
      <w:numPr>
        <w:numId w:val="6"/>
      </w:numPr>
    </w:pPr>
  </w:style>
  <w:style w:type="paragraph" w:styleId="BlockText">
    <w:name w:val="Block Text"/>
    <w:basedOn w:val="Normal"/>
    <w:rsid w:val="002373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73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7388"/>
    <w:rPr>
      <w:sz w:val="16"/>
      <w:vertAlign w:val="superscript"/>
    </w:rPr>
  </w:style>
  <w:style w:type="character" w:customStyle="1" w:styleId="Symbols">
    <w:name w:val="Symbols"/>
    <w:basedOn w:val="DefaultParagraphFont"/>
    <w:rsid w:val="00237388"/>
    <w:rPr>
      <w:rFonts w:ascii="Symbol" w:hAnsi="Symbol"/>
    </w:rPr>
  </w:style>
  <w:style w:type="character" w:customStyle="1" w:styleId="MenuOptions">
    <w:name w:val="Menu Options"/>
    <w:basedOn w:val="DefaultParagraphFont"/>
    <w:rsid w:val="002373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7388"/>
    <w:rPr>
      <w:b/>
    </w:rPr>
  </w:style>
  <w:style w:type="character" w:customStyle="1" w:styleId="Underlined">
    <w:name w:val="Underlined"/>
    <w:basedOn w:val="DefaultParagraphFont"/>
    <w:rsid w:val="00237388"/>
    <w:rPr>
      <w:u w:val="single"/>
    </w:rPr>
  </w:style>
  <w:style w:type="paragraph" w:customStyle="1" w:styleId="TableBodyTextRight">
    <w:name w:val="Table Body Text Right"/>
    <w:basedOn w:val="TableBodyText"/>
    <w:rsid w:val="002373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7388"/>
    <w:rPr>
      <w:sz w:val="18"/>
    </w:rPr>
  </w:style>
  <w:style w:type="paragraph" w:customStyle="1" w:styleId="BodySmallRight">
    <w:name w:val="Body Small Right"/>
    <w:basedOn w:val="BodyTextRight"/>
    <w:rsid w:val="00237388"/>
    <w:rPr>
      <w:sz w:val="18"/>
      <w:szCs w:val="18"/>
    </w:rPr>
  </w:style>
  <w:style w:type="paragraph" w:customStyle="1" w:styleId="MarginEdition">
    <w:name w:val="Margin Edition"/>
    <w:basedOn w:val="MarginNote"/>
    <w:rsid w:val="002373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7388"/>
    <w:rPr>
      <w:sz w:val="2"/>
      <w:szCs w:val="2"/>
    </w:rPr>
  </w:style>
  <w:style w:type="character" w:customStyle="1" w:styleId="Small">
    <w:name w:val="Small"/>
    <w:basedOn w:val="DefaultParagraphFont"/>
    <w:rsid w:val="00237388"/>
    <w:rPr>
      <w:sz w:val="16"/>
    </w:rPr>
  </w:style>
  <w:style w:type="paragraph" w:customStyle="1" w:styleId="WideTable">
    <w:name w:val="Wide Table"/>
    <w:basedOn w:val="Normal"/>
    <w:rsid w:val="002373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7388"/>
  </w:style>
  <w:style w:type="paragraph" w:styleId="Quote">
    <w:name w:val="Quote"/>
    <w:basedOn w:val="Heading1"/>
    <w:link w:val="QuoteChar"/>
    <w:qFormat/>
    <w:rsid w:val="002373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73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7388"/>
    <w:pPr>
      <w:pageBreakBefore/>
    </w:pPr>
  </w:style>
  <w:style w:type="paragraph" w:customStyle="1" w:styleId="Border">
    <w:name w:val="Border"/>
    <w:basedOn w:val="Normal"/>
    <w:qFormat/>
    <w:rsid w:val="002373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73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3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3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73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73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73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73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73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7388"/>
    <w:rPr>
      <w:u w:val="single"/>
    </w:rPr>
  </w:style>
  <w:style w:type="character" w:customStyle="1" w:styleId="BoldandItalics">
    <w:name w:val="Bold and Italics"/>
    <w:qFormat/>
    <w:rsid w:val="00237388"/>
    <w:rPr>
      <w:b/>
      <w:i/>
      <w:u w:val="none"/>
    </w:rPr>
  </w:style>
  <w:style w:type="paragraph" w:styleId="BalloonText">
    <w:name w:val="Balloon Text"/>
    <w:basedOn w:val="Normal"/>
    <w:link w:val="BalloonTextChar"/>
    <w:rsid w:val="002373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73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73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73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73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73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7388"/>
    <w:pPr>
      <w:spacing w:before="0" w:after="0"/>
    </w:pPr>
  </w:style>
  <w:style w:type="paragraph" w:customStyle="1" w:styleId="BodyTextBold">
    <w:name w:val="Body Text Bold"/>
    <w:basedOn w:val="BodyText"/>
    <w:qFormat/>
    <w:rsid w:val="00237388"/>
    <w:rPr>
      <w:b/>
    </w:rPr>
  </w:style>
  <w:style w:type="character" w:styleId="Hyperlink">
    <w:name w:val="Hyperlink"/>
    <w:basedOn w:val="DefaultParagraphFont"/>
    <w:uiPriority w:val="99"/>
    <w:unhideWhenUsed/>
    <w:rsid w:val="00C72C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722</Words>
  <Characters>4674</Characters>
  <Application>Microsoft Office Word</Application>
  <DocSecurity>0</DocSecurity>
  <Lines>233</Lines>
  <Paragraphs>145</Paragraphs>
  <ScaleCrop>false</ScaleCrop>
  <Company>Author-it Software Corporation Ltd.</Company>
  <LinksUpToDate>false</LinksUpToDate>
  <CharactersWithSpaces>5251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MEM25010 Perform fitout procedures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2023-02-03T07:11:00Z</dcterms:created>
  <dcterms:modified xsi:type="dcterms:W3CDTF">2023-02-03T07:11:00Z</dcterms:modified>
</cp:coreProperties>
</file>